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584D" w14:textId="705D66DF" w:rsidR="0030460D" w:rsidRPr="009A2708" w:rsidRDefault="0030460D" w:rsidP="009A2708">
      <w:pPr>
        <w:spacing w:after="0" w:line="240" w:lineRule="auto"/>
        <w:jc w:val="thaiDistribute"/>
        <w:rPr>
          <w:rFonts w:asciiTheme="minorBidi" w:hAnsiTheme="minorBidi"/>
          <w:b/>
          <w:bCs/>
          <w:sz w:val="32"/>
          <w:szCs w:val="32"/>
        </w:rPr>
      </w:pPr>
      <w:r w:rsidRPr="009A2708">
        <w:rPr>
          <w:rStyle w:val="wacimagecontainer"/>
          <w:rFonts w:asciiTheme="minorBidi" w:hAnsiTheme="minorBidi"/>
          <w:noProof/>
          <w:color w:val="000000"/>
          <w:sz w:val="32"/>
          <w:szCs w:val="32"/>
        </w:rPr>
        <w:drawing>
          <wp:anchor distT="0" distB="0" distL="114300" distR="114300" simplePos="0" relativeHeight="251658240" behindDoc="0" locked="0" layoutInCell="1" allowOverlap="1" wp14:anchorId="7E81E81B" wp14:editId="41781F52">
            <wp:simplePos x="0" y="0"/>
            <wp:positionH relativeFrom="margin">
              <wp:align>right</wp:align>
            </wp:positionH>
            <wp:positionV relativeFrom="paragraph">
              <wp:posOffset>-96520</wp:posOffset>
            </wp:positionV>
            <wp:extent cx="1885950" cy="482600"/>
            <wp:effectExtent l="0" t="0" r="0" b="0"/>
            <wp:wrapNone/>
            <wp:docPr id="778138926" name="Picture 2" descr="New KR Logo_แนวนอ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KR Logo_แนวนอ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482600"/>
                    </a:xfrm>
                    <a:prstGeom prst="rect">
                      <a:avLst/>
                    </a:prstGeom>
                    <a:noFill/>
                    <a:ln>
                      <a:noFill/>
                    </a:ln>
                  </pic:spPr>
                </pic:pic>
              </a:graphicData>
            </a:graphic>
          </wp:anchor>
        </w:drawing>
      </w:r>
    </w:p>
    <w:p w14:paraId="1849DFDF" w14:textId="77777777" w:rsidR="0030460D" w:rsidRPr="009A2708" w:rsidRDefault="0030460D" w:rsidP="009A2708">
      <w:pPr>
        <w:spacing w:after="0" w:line="240" w:lineRule="auto"/>
        <w:jc w:val="thaiDistribute"/>
        <w:rPr>
          <w:rFonts w:asciiTheme="minorBidi" w:hAnsiTheme="minorBidi"/>
          <w:b/>
          <w:bCs/>
          <w:sz w:val="32"/>
          <w:szCs w:val="32"/>
        </w:rPr>
      </w:pPr>
    </w:p>
    <w:p w14:paraId="56F505EB" w14:textId="50078F01" w:rsidR="005A2E09" w:rsidRPr="00745B2C" w:rsidRDefault="005A2E09" w:rsidP="005A2E09">
      <w:pPr>
        <w:pStyle w:val="NormalWeb"/>
        <w:rPr>
          <w:rFonts w:asciiTheme="minorBidi" w:hAnsiTheme="minorBidi" w:cstheme="minorBidi"/>
          <w:sz w:val="32"/>
          <w:szCs w:val="32"/>
        </w:rPr>
      </w:pPr>
      <w:r w:rsidRPr="00745B2C">
        <w:rPr>
          <w:rStyle w:val="Strong"/>
          <w:rFonts w:asciiTheme="minorBidi" w:hAnsiTheme="minorBidi" w:cstheme="minorBidi"/>
          <w:sz w:val="32"/>
          <w:szCs w:val="32"/>
        </w:rPr>
        <w:t xml:space="preserve">KResearch </w:t>
      </w:r>
      <w:r w:rsidR="00E67DA5" w:rsidRPr="00745B2C">
        <w:rPr>
          <w:rStyle w:val="Strong"/>
          <w:rFonts w:asciiTheme="minorBidi" w:hAnsiTheme="minorBidi" w:cstheme="minorBidi"/>
          <w:sz w:val="32"/>
          <w:szCs w:val="32"/>
        </w:rPr>
        <w:t>s</w:t>
      </w:r>
      <w:r w:rsidRPr="00745B2C">
        <w:rPr>
          <w:rStyle w:val="Strong"/>
          <w:rFonts w:asciiTheme="minorBidi" w:hAnsiTheme="minorBidi" w:cstheme="minorBidi"/>
          <w:sz w:val="32"/>
          <w:szCs w:val="32"/>
        </w:rPr>
        <w:t>ee</w:t>
      </w:r>
      <w:r w:rsidR="00B4531D" w:rsidRPr="00745B2C">
        <w:rPr>
          <w:rStyle w:val="Strong"/>
          <w:rFonts w:asciiTheme="minorBidi" w:hAnsiTheme="minorBidi" w:cstheme="minorBidi"/>
          <w:sz w:val="32"/>
          <w:szCs w:val="32"/>
        </w:rPr>
        <w:t>s</w:t>
      </w:r>
      <w:r w:rsidR="00D228B8" w:rsidRPr="00745B2C">
        <w:rPr>
          <w:rStyle w:val="Strong"/>
          <w:rFonts w:asciiTheme="minorBidi" w:hAnsiTheme="minorBidi" w:cstheme="minorBidi"/>
          <w:sz w:val="32"/>
          <w:szCs w:val="32"/>
        </w:rPr>
        <w:t xml:space="preserve"> gradual </w:t>
      </w:r>
      <w:r w:rsidR="008304F8" w:rsidRPr="00745B2C">
        <w:rPr>
          <w:rStyle w:val="Strong"/>
          <w:rFonts w:asciiTheme="minorBidi" w:hAnsiTheme="minorBidi" w:cstheme="minorBidi"/>
          <w:sz w:val="32"/>
          <w:szCs w:val="32"/>
        </w:rPr>
        <w:t>recovery in the Thai economy during the second half of 2026</w:t>
      </w:r>
      <w:r w:rsidR="007869DD" w:rsidRPr="00745B2C">
        <w:rPr>
          <w:rStyle w:val="Strong"/>
          <w:rFonts w:asciiTheme="minorBidi" w:hAnsiTheme="minorBidi" w:cstheme="minorBidi"/>
          <w:sz w:val="32"/>
          <w:szCs w:val="32"/>
        </w:rPr>
        <w:t xml:space="preserve">, supported by economic stimulus measures, </w:t>
      </w:r>
      <w:r w:rsidRPr="00745B2C">
        <w:rPr>
          <w:rStyle w:val="Strong"/>
          <w:rFonts w:asciiTheme="minorBidi" w:hAnsiTheme="minorBidi" w:cstheme="minorBidi"/>
          <w:sz w:val="32"/>
          <w:szCs w:val="32"/>
        </w:rPr>
        <w:t xml:space="preserve">but </w:t>
      </w:r>
      <w:r w:rsidR="007869DD" w:rsidRPr="00745B2C">
        <w:rPr>
          <w:rStyle w:val="Strong"/>
          <w:rFonts w:asciiTheme="minorBidi" w:hAnsiTheme="minorBidi" w:cstheme="minorBidi"/>
          <w:sz w:val="32"/>
          <w:szCs w:val="32"/>
        </w:rPr>
        <w:t>b</w:t>
      </w:r>
      <w:r w:rsidRPr="00745B2C">
        <w:rPr>
          <w:rStyle w:val="Strong"/>
          <w:rFonts w:asciiTheme="minorBidi" w:hAnsiTheme="minorBidi" w:cstheme="minorBidi"/>
          <w:sz w:val="32"/>
          <w:szCs w:val="32"/>
        </w:rPr>
        <w:t xml:space="preserve">usinesses </w:t>
      </w:r>
      <w:r w:rsidR="007869DD" w:rsidRPr="00745B2C">
        <w:rPr>
          <w:rStyle w:val="Strong"/>
          <w:rFonts w:asciiTheme="minorBidi" w:hAnsiTheme="minorBidi" w:cstheme="minorBidi"/>
          <w:sz w:val="32"/>
          <w:szCs w:val="32"/>
        </w:rPr>
        <w:t>c</w:t>
      </w:r>
      <w:r w:rsidRPr="00745B2C">
        <w:rPr>
          <w:rStyle w:val="Strong"/>
          <w:rFonts w:asciiTheme="minorBidi" w:hAnsiTheme="minorBidi" w:cstheme="minorBidi"/>
          <w:sz w:val="32"/>
          <w:szCs w:val="32"/>
        </w:rPr>
        <w:t xml:space="preserve">ontinue to </w:t>
      </w:r>
      <w:r w:rsidR="007869DD" w:rsidRPr="00745B2C">
        <w:rPr>
          <w:rStyle w:val="Strong"/>
          <w:rFonts w:asciiTheme="minorBidi" w:hAnsiTheme="minorBidi" w:cstheme="minorBidi"/>
          <w:sz w:val="32"/>
          <w:szCs w:val="32"/>
        </w:rPr>
        <w:t>f</w:t>
      </w:r>
      <w:r w:rsidRPr="00745B2C">
        <w:rPr>
          <w:rStyle w:val="Strong"/>
          <w:rFonts w:asciiTheme="minorBidi" w:hAnsiTheme="minorBidi" w:cstheme="minorBidi"/>
          <w:sz w:val="32"/>
          <w:szCs w:val="32"/>
        </w:rPr>
        <w:t xml:space="preserve">ace </w:t>
      </w:r>
      <w:r w:rsidR="007869DD" w:rsidRPr="00745B2C">
        <w:rPr>
          <w:rStyle w:val="Strong"/>
          <w:rFonts w:asciiTheme="minorBidi" w:hAnsiTheme="minorBidi" w:cstheme="minorBidi"/>
          <w:sz w:val="32"/>
          <w:szCs w:val="32"/>
        </w:rPr>
        <w:t>m</w:t>
      </w:r>
      <w:r w:rsidRPr="00745B2C">
        <w:rPr>
          <w:rStyle w:val="Strong"/>
          <w:rFonts w:asciiTheme="minorBidi" w:hAnsiTheme="minorBidi" w:cstheme="minorBidi"/>
          <w:sz w:val="32"/>
          <w:szCs w:val="32"/>
        </w:rPr>
        <w:t xml:space="preserve">ultiple </w:t>
      </w:r>
      <w:r w:rsidR="007869DD" w:rsidRPr="00745B2C">
        <w:rPr>
          <w:rStyle w:val="Strong"/>
          <w:rFonts w:asciiTheme="minorBidi" w:hAnsiTheme="minorBidi" w:cstheme="minorBidi"/>
          <w:sz w:val="32"/>
          <w:szCs w:val="32"/>
        </w:rPr>
        <w:t>c</w:t>
      </w:r>
      <w:r w:rsidRPr="00745B2C">
        <w:rPr>
          <w:rStyle w:val="Strong"/>
          <w:rFonts w:asciiTheme="minorBidi" w:hAnsiTheme="minorBidi" w:cstheme="minorBidi"/>
          <w:sz w:val="32"/>
          <w:szCs w:val="32"/>
        </w:rPr>
        <w:t>hallenges</w:t>
      </w:r>
    </w:p>
    <w:p w14:paraId="076BB5AA" w14:textId="14073A6E" w:rsidR="000144B9" w:rsidRPr="00745B2C" w:rsidRDefault="000144B9" w:rsidP="00745B2C">
      <w:pPr>
        <w:pStyle w:val="NormalWeb"/>
        <w:spacing w:after="0" w:afterAutospacing="0"/>
        <w:ind w:firstLine="720"/>
        <w:jc w:val="both"/>
        <w:rPr>
          <w:rFonts w:asciiTheme="minorBidi" w:hAnsiTheme="minorBidi" w:cstheme="minorBidi"/>
          <w:sz w:val="32"/>
          <w:szCs w:val="32"/>
        </w:rPr>
      </w:pPr>
      <w:r w:rsidRPr="00745B2C">
        <w:rPr>
          <w:rFonts w:asciiTheme="minorBidi" w:hAnsiTheme="minorBidi" w:cstheme="minorBidi"/>
          <w:sz w:val="32"/>
          <w:szCs w:val="32"/>
        </w:rPr>
        <w:t>Although K</w:t>
      </w:r>
      <w:r w:rsidR="00366CDB" w:rsidRPr="00745B2C">
        <w:rPr>
          <w:rFonts w:asciiTheme="minorBidi" w:hAnsiTheme="minorBidi" w:cstheme="minorBidi"/>
          <w:sz w:val="32"/>
          <w:szCs w:val="32"/>
        </w:rPr>
        <w:t>ASIKORN RESEARCH CENTER (K</w:t>
      </w:r>
      <w:r w:rsidRPr="00745B2C">
        <w:rPr>
          <w:rFonts w:asciiTheme="minorBidi" w:hAnsiTheme="minorBidi" w:cstheme="minorBidi"/>
          <w:sz w:val="32"/>
          <w:szCs w:val="32"/>
        </w:rPr>
        <w:t>Research</w:t>
      </w:r>
      <w:r w:rsidR="00366CDB" w:rsidRPr="00745B2C">
        <w:rPr>
          <w:rFonts w:asciiTheme="minorBidi" w:hAnsiTheme="minorBidi" w:cstheme="minorBidi"/>
          <w:sz w:val="32"/>
          <w:szCs w:val="32"/>
        </w:rPr>
        <w:t>)</w:t>
      </w:r>
      <w:r w:rsidRPr="00745B2C">
        <w:rPr>
          <w:rFonts w:asciiTheme="minorBidi" w:hAnsiTheme="minorBidi" w:cstheme="minorBidi"/>
          <w:sz w:val="32"/>
          <w:szCs w:val="32"/>
        </w:rPr>
        <w:t xml:space="preserve"> has maintained its</w:t>
      </w:r>
      <w:r w:rsidR="00C93681" w:rsidRPr="00745B2C">
        <w:rPr>
          <w:rFonts w:asciiTheme="minorBidi" w:hAnsiTheme="minorBidi" w:cstheme="minorBidi"/>
          <w:sz w:val="32"/>
          <w:szCs w:val="32"/>
        </w:rPr>
        <w:t xml:space="preserve"> Thailand’s</w:t>
      </w:r>
      <w:r w:rsidR="00DA5C64" w:rsidRPr="00745B2C">
        <w:rPr>
          <w:rFonts w:asciiTheme="minorBidi" w:hAnsiTheme="minorBidi" w:cstheme="minorBidi"/>
          <w:sz w:val="32"/>
          <w:szCs w:val="32"/>
        </w:rPr>
        <w:t xml:space="preserve"> </w:t>
      </w:r>
      <w:r w:rsidRPr="00745B2C">
        <w:rPr>
          <w:rFonts w:asciiTheme="minorBidi" w:hAnsiTheme="minorBidi" w:cstheme="minorBidi"/>
          <w:sz w:val="32"/>
          <w:szCs w:val="32"/>
        </w:rPr>
        <w:t>2026 GDP growth forecast at 2.0</w:t>
      </w:r>
      <w:r w:rsidR="00B96273" w:rsidRPr="00745B2C">
        <w:rPr>
          <w:rFonts w:asciiTheme="minorBidi" w:hAnsiTheme="minorBidi" w:cstheme="minorBidi"/>
          <w:sz w:val="32"/>
          <w:szCs w:val="32"/>
        </w:rPr>
        <w:t xml:space="preserve"> percent</w:t>
      </w:r>
      <w:r w:rsidRPr="00745B2C">
        <w:rPr>
          <w:rFonts w:asciiTheme="minorBidi" w:hAnsiTheme="minorBidi" w:cstheme="minorBidi"/>
          <w:sz w:val="32"/>
          <w:szCs w:val="32"/>
        </w:rPr>
        <w:t xml:space="preserve">, </w:t>
      </w:r>
      <w:r w:rsidR="0031088F" w:rsidRPr="00745B2C">
        <w:rPr>
          <w:rFonts w:asciiTheme="minorBidi" w:hAnsiTheme="minorBidi" w:cstheme="minorBidi"/>
          <w:sz w:val="32"/>
          <w:szCs w:val="32"/>
        </w:rPr>
        <w:t>it</w:t>
      </w:r>
      <w:r w:rsidR="001852BD" w:rsidRPr="00745B2C">
        <w:rPr>
          <w:rFonts w:asciiTheme="minorBidi" w:hAnsiTheme="minorBidi" w:cstheme="minorBidi"/>
          <w:sz w:val="32"/>
          <w:szCs w:val="32"/>
        </w:rPr>
        <w:t xml:space="preserve"> views that </w:t>
      </w:r>
      <w:r w:rsidR="006440DA" w:rsidRPr="00745B2C">
        <w:rPr>
          <w:rFonts w:asciiTheme="minorBidi" w:hAnsiTheme="minorBidi" w:cstheme="minorBidi"/>
          <w:sz w:val="32"/>
          <w:szCs w:val="32"/>
        </w:rPr>
        <w:t>t</w:t>
      </w:r>
      <w:r w:rsidRPr="00745B2C">
        <w:rPr>
          <w:rFonts w:asciiTheme="minorBidi" w:hAnsiTheme="minorBidi" w:cstheme="minorBidi"/>
          <w:sz w:val="32"/>
          <w:szCs w:val="32"/>
        </w:rPr>
        <w:t>he</w:t>
      </w:r>
      <w:r w:rsidR="006440DA" w:rsidRPr="00745B2C">
        <w:rPr>
          <w:rFonts w:asciiTheme="minorBidi" w:hAnsiTheme="minorBidi" w:cstheme="minorBidi"/>
          <w:sz w:val="32"/>
          <w:szCs w:val="32"/>
        </w:rPr>
        <w:t xml:space="preserve"> G</w:t>
      </w:r>
      <w:r w:rsidR="0062471A" w:rsidRPr="00745B2C">
        <w:rPr>
          <w:rFonts w:asciiTheme="minorBidi" w:hAnsiTheme="minorBidi" w:cstheme="minorBidi"/>
          <w:sz w:val="32"/>
          <w:szCs w:val="32"/>
        </w:rPr>
        <w:t xml:space="preserve">DP may have </w:t>
      </w:r>
      <w:r w:rsidR="001B2738" w:rsidRPr="00745B2C">
        <w:rPr>
          <w:rFonts w:asciiTheme="minorBidi" w:hAnsiTheme="minorBidi" w:cstheme="minorBidi"/>
          <w:sz w:val="32"/>
          <w:szCs w:val="32"/>
        </w:rPr>
        <w:t xml:space="preserve">bottomed out in </w:t>
      </w:r>
      <w:r w:rsidRPr="00745B2C">
        <w:rPr>
          <w:rFonts w:asciiTheme="minorBidi" w:hAnsiTheme="minorBidi" w:cstheme="minorBidi"/>
          <w:sz w:val="32"/>
          <w:szCs w:val="32"/>
        </w:rPr>
        <w:t>the second quarter of 2026.</w:t>
      </w:r>
      <w:r w:rsidR="00016E94" w:rsidRPr="00745B2C">
        <w:rPr>
          <w:rFonts w:asciiTheme="minorBidi" w:hAnsiTheme="minorBidi" w:cstheme="minorBidi"/>
          <w:sz w:val="32"/>
          <w:szCs w:val="32"/>
        </w:rPr>
        <w:t xml:space="preserve"> However, </w:t>
      </w:r>
      <w:r w:rsidR="00F860D4" w:rsidRPr="00745B2C">
        <w:rPr>
          <w:rFonts w:asciiTheme="minorBidi" w:hAnsiTheme="minorBidi" w:cstheme="minorBidi"/>
          <w:sz w:val="32"/>
          <w:szCs w:val="32"/>
        </w:rPr>
        <w:t xml:space="preserve">energy prices that </w:t>
      </w:r>
      <w:r w:rsidR="00441F5E" w:rsidRPr="00745B2C">
        <w:rPr>
          <w:rFonts w:asciiTheme="minorBidi" w:hAnsiTheme="minorBidi" w:cstheme="minorBidi"/>
          <w:sz w:val="32"/>
          <w:szCs w:val="32"/>
        </w:rPr>
        <w:t>are expected to</w:t>
      </w:r>
      <w:r w:rsidR="00F860D4" w:rsidRPr="00745B2C">
        <w:rPr>
          <w:rFonts w:asciiTheme="minorBidi" w:hAnsiTheme="minorBidi" w:cstheme="minorBidi"/>
          <w:sz w:val="32"/>
          <w:szCs w:val="32"/>
        </w:rPr>
        <w:t xml:space="preserve"> stay high for longer</w:t>
      </w:r>
      <w:r w:rsidR="002B6616" w:rsidRPr="00745B2C">
        <w:rPr>
          <w:rFonts w:asciiTheme="minorBidi" w:hAnsiTheme="minorBidi" w:cstheme="minorBidi"/>
          <w:sz w:val="32"/>
          <w:szCs w:val="32"/>
        </w:rPr>
        <w:t xml:space="preserve"> will cause inflation to accelerate further during the second half of 2026</w:t>
      </w:r>
      <w:r w:rsidR="00B55FB2" w:rsidRPr="00745B2C">
        <w:rPr>
          <w:rFonts w:asciiTheme="minorBidi" w:hAnsiTheme="minorBidi" w:cstheme="minorBidi"/>
          <w:sz w:val="32"/>
          <w:szCs w:val="32"/>
        </w:rPr>
        <w:t xml:space="preserve">, bringing average </w:t>
      </w:r>
      <w:r w:rsidR="00BB6205" w:rsidRPr="00745B2C">
        <w:rPr>
          <w:rFonts w:asciiTheme="minorBidi" w:hAnsiTheme="minorBidi" w:cstheme="minorBidi"/>
          <w:sz w:val="32"/>
          <w:szCs w:val="32"/>
        </w:rPr>
        <w:t>inflation rate for 2026 to 3.1 percent. Meanwhile, the Monetary Policy Committee (MPC)</w:t>
      </w:r>
      <w:r w:rsidR="007D10A1" w:rsidRPr="00745B2C">
        <w:rPr>
          <w:rFonts w:asciiTheme="minorBidi" w:hAnsiTheme="minorBidi" w:cstheme="minorBidi"/>
          <w:sz w:val="32"/>
          <w:szCs w:val="32"/>
        </w:rPr>
        <w:t xml:space="preserve"> is expected to moni</w:t>
      </w:r>
      <w:r w:rsidR="00593CEC" w:rsidRPr="00745B2C">
        <w:rPr>
          <w:rFonts w:asciiTheme="minorBidi" w:hAnsiTheme="minorBidi" w:cstheme="minorBidi"/>
          <w:sz w:val="32"/>
          <w:szCs w:val="32"/>
        </w:rPr>
        <w:t xml:space="preserve">tor the situation and </w:t>
      </w:r>
      <w:r w:rsidR="00E13810" w:rsidRPr="00745B2C">
        <w:rPr>
          <w:rFonts w:asciiTheme="minorBidi" w:hAnsiTheme="minorBidi" w:cstheme="minorBidi"/>
          <w:sz w:val="32"/>
          <w:szCs w:val="32"/>
        </w:rPr>
        <w:t xml:space="preserve">maintain </w:t>
      </w:r>
      <w:r w:rsidR="00A17AB2" w:rsidRPr="00745B2C">
        <w:rPr>
          <w:rFonts w:asciiTheme="minorBidi" w:hAnsiTheme="minorBidi" w:cstheme="minorBidi"/>
          <w:sz w:val="32"/>
          <w:szCs w:val="32"/>
        </w:rPr>
        <w:t xml:space="preserve">the policy </w:t>
      </w:r>
      <w:r w:rsidR="00E13810" w:rsidRPr="00745B2C">
        <w:rPr>
          <w:rFonts w:asciiTheme="minorBidi" w:hAnsiTheme="minorBidi" w:cstheme="minorBidi"/>
          <w:sz w:val="32"/>
          <w:szCs w:val="32"/>
        </w:rPr>
        <w:t xml:space="preserve">rate </w:t>
      </w:r>
      <w:r w:rsidR="00A17AB2" w:rsidRPr="00745B2C">
        <w:rPr>
          <w:rFonts w:asciiTheme="minorBidi" w:hAnsiTheme="minorBidi" w:cstheme="minorBidi"/>
          <w:sz w:val="32"/>
          <w:szCs w:val="32"/>
        </w:rPr>
        <w:t>at 1.0</w:t>
      </w:r>
      <w:r w:rsidR="00E86806" w:rsidRPr="00745B2C">
        <w:rPr>
          <w:rFonts w:asciiTheme="minorBidi" w:hAnsiTheme="minorBidi" w:cstheme="minorBidi"/>
          <w:sz w:val="32"/>
          <w:szCs w:val="32"/>
        </w:rPr>
        <w:t xml:space="preserve"> percent.</w:t>
      </w:r>
      <w:r w:rsidR="005F3443">
        <w:rPr>
          <w:rFonts w:asciiTheme="minorBidi" w:hAnsiTheme="minorBidi" w:cstheme="minorBidi"/>
          <w:sz w:val="32"/>
          <w:szCs w:val="32"/>
        </w:rPr>
        <w:t xml:space="preserve"> </w:t>
      </w:r>
      <w:r w:rsidR="00E86806" w:rsidRPr="00745B2C">
        <w:rPr>
          <w:rFonts w:asciiTheme="minorBidi" w:hAnsiTheme="minorBidi" w:cstheme="minorBidi"/>
          <w:sz w:val="32"/>
          <w:szCs w:val="32"/>
        </w:rPr>
        <w:t xml:space="preserve">As for the Thai Baht, it may </w:t>
      </w:r>
      <w:r w:rsidRPr="00745B2C">
        <w:rPr>
          <w:rFonts w:asciiTheme="minorBidi" w:hAnsiTheme="minorBidi" w:cstheme="minorBidi"/>
          <w:sz w:val="32"/>
          <w:szCs w:val="32"/>
        </w:rPr>
        <w:t>weaken further in line with Thailand’s economic fundamentals, ending 2026 at around 32.80</w:t>
      </w:r>
      <w:r w:rsidR="006E4ECC" w:rsidRPr="00745B2C">
        <w:rPr>
          <w:rFonts w:asciiTheme="minorBidi" w:hAnsiTheme="minorBidi" w:cstheme="minorBidi"/>
          <w:sz w:val="32"/>
          <w:szCs w:val="32"/>
        </w:rPr>
        <w:t xml:space="preserve"> Baht</w:t>
      </w:r>
      <w:r w:rsidRPr="00745B2C">
        <w:rPr>
          <w:rFonts w:asciiTheme="minorBidi" w:hAnsiTheme="minorBidi" w:cstheme="minorBidi"/>
          <w:sz w:val="32"/>
          <w:szCs w:val="32"/>
        </w:rPr>
        <w:t xml:space="preserve"> per US dollar, compared with approximately 32.50–32.60 </w:t>
      </w:r>
      <w:r w:rsidR="006E4ECC" w:rsidRPr="00745B2C">
        <w:rPr>
          <w:rFonts w:asciiTheme="minorBidi" w:hAnsiTheme="minorBidi" w:cstheme="minorBidi"/>
          <w:sz w:val="32"/>
          <w:szCs w:val="32"/>
        </w:rPr>
        <w:t xml:space="preserve">Baht </w:t>
      </w:r>
      <w:r w:rsidRPr="00745B2C">
        <w:rPr>
          <w:rFonts w:asciiTheme="minorBidi" w:hAnsiTheme="minorBidi" w:cstheme="minorBidi"/>
          <w:sz w:val="32"/>
          <w:szCs w:val="32"/>
        </w:rPr>
        <w:t>per</w:t>
      </w:r>
      <w:r w:rsidR="006E4ECC" w:rsidRPr="00745B2C">
        <w:rPr>
          <w:rFonts w:asciiTheme="minorBidi" w:hAnsiTheme="minorBidi" w:cstheme="minorBidi"/>
          <w:sz w:val="32"/>
          <w:szCs w:val="32"/>
        </w:rPr>
        <w:t xml:space="preserve"> US </w:t>
      </w:r>
      <w:r w:rsidRPr="00745B2C">
        <w:rPr>
          <w:rFonts w:asciiTheme="minorBidi" w:hAnsiTheme="minorBidi" w:cstheme="minorBidi"/>
          <w:sz w:val="32"/>
          <w:szCs w:val="32"/>
        </w:rPr>
        <w:t>dollar at present.</w:t>
      </w:r>
    </w:p>
    <w:p w14:paraId="679560C2" w14:textId="3A037EEF" w:rsidR="0027089D" w:rsidRPr="009A2708" w:rsidRDefault="0027089D" w:rsidP="009A2708">
      <w:pPr>
        <w:spacing w:after="0" w:line="240" w:lineRule="auto"/>
        <w:ind w:firstLine="720"/>
        <w:jc w:val="thaiDistribute"/>
        <w:rPr>
          <w:rFonts w:asciiTheme="minorBidi" w:eastAsiaTheme="minorHAnsi" w:hAnsiTheme="minorBidi"/>
          <w:sz w:val="32"/>
          <w:szCs w:val="32"/>
        </w:rPr>
      </w:pPr>
      <w:r w:rsidRPr="00745B2C">
        <w:rPr>
          <w:rFonts w:asciiTheme="minorBidi" w:eastAsiaTheme="minorHAnsi" w:hAnsiTheme="minorBidi"/>
          <w:b/>
          <w:bCs/>
          <w:sz w:val="32"/>
          <w:szCs w:val="32"/>
        </w:rPr>
        <w:t xml:space="preserve">Ms. Nattaporn Triratanasirikul, </w:t>
      </w:r>
      <w:r w:rsidR="00366CDB" w:rsidRPr="00745B2C">
        <w:rPr>
          <w:rFonts w:asciiTheme="minorBidi" w:eastAsiaTheme="minorHAnsi" w:hAnsiTheme="minorBidi"/>
          <w:b/>
          <w:bCs/>
          <w:sz w:val="32"/>
          <w:szCs w:val="32"/>
        </w:rPr>
        <w:t xml:space="preserve">KResearch </w:t>
      </w:r>
      <w:r w:rsidRPr="00745B2C">
        <w:rPr>
          <w:rFonts w:asciiTheme="minorBidi" w:eastAsiaTheme="minorHAnsi" w:hAnsiTheme="minorBidi"/>
          <w:b/>
          <w:bCs/>
          <w:sz w:val="32"/>
          <w:szCs w:val="32"/>
        </w:rPr>
        <w:t xml:space="preserve">Deputy Managing </w:t>
      </w:r>
      <w:r w:rsidR="00366CDB" w:rsidRPr="00745B2C">
        <w:rPr>
          <w:rFonts w:asciiTheme="minorBidi" w:eastAsiaTheme="minorHAnsi" w:hAnsiTheme="minorBidi"/>
          <w:b/>
          <w:bCs/>
          <w:sz w:val="32"/>
          <w:szCs w:val="32"/>
        </w:rPr>
        <w:t>Director,</w:t>
      </w:r>
      <w:r w:rsidR="00366CDB" w:rsidRPr="0027089D">
        <w:rPr>
          <w:rFonts w:asciiTheme="minorBidi" w:eastAsiaTheme="minorHAnsi" w:hAnsiTheme="minorBidi"/>
          <w:sz w:val="32"/>
          <w:szCs w:val="32"/>
        </w:rPr>
        <w:t xml:space="preserve"> said</w:t>
      </w:r>
      <w:r w:rsidRPr="0027089D">
        <w:rPr>
          <w:rFonts w:asciiTheme="minorBidi" w:eastAsiaTheme="minorHAnsi" w:hAnsiTheme="minorBidi"/>
          <w:sz w:val="32"/>
          <w:szCs w:val="32"/>
        </w:rPr>
        <w:t xml:space="preserve"> that the Thai economy may have bottomed out in the second quarter of 2026 and is expected to gradually recover in the second half of 2026, particularly in the third quarter, thanks to the government economic stimulus measures. However, economic risks remain to be seen, primarily stemming from uncertainty surrounding US tariff policies, which could affect Thailand’s export </w:t>
      </w:r>
      <w:r w:rsidR="00361215">
        <w:rPr>
          <w:rFonts w:asciiTheme="minorBidi" w:eastAsiaTheme="minorHAnsi" w:hAnsiTheme="minorBidi"/>
          <w:sz w:val="32"/>
          <w:szCs w:val="32"/>
        </w:rPr>
        <w:t xml:space="preserve">sector </w:t>
      </w:r>
      <w:r w:rsidRPr="0027089D">
        <w:rPr>
          <w:rFonts w:asciiTheme="minorBidi" w:eastAsiaTheme="minorHAnsi" w:hAnsiTheme="minorBidi"/>
          <w:sz w:val="32"/>
          <w:szCs w:val="32"/>
        </w:rPr>
        <w:t xml:space="preserve">during the rest of the year. Additionally, even if the US and Iran reach a peace deal, global energy prices are unlikely to decline rapidly. As a result, producer prices are expected to continue being passed through to consumer prices, causing headline inflation to peak during the second half of 2026. </w:t>
      </w:r>
    </w:p>
    <w:p w14:paraId="4F65508F" w14:textId="72669A73" w:rsidR="00C75C97" w:rsidRDefault="00A2209A" w:rsidP="009A2708">
      <w:pPr>
        <w:pStyle w:val="NormalWeb"/>
        <w:spacing w:before="0" w:beforeAutospacing="0" w:after="0" w:afterAutospacing="0"/>
        <w:ind w:firstLine="720"/>
        <w:jc w:val="thaiDistribute"/>
        <w:rPr>
          <w:rFonts w:asciiTheme="minorBidi" w:hAnsiTheme="minorBidi" w:cs="Cordia New"/>
          <w:sz w:val="32"/>
          <w:szCs w:val="32"/>
        </w:rPr>
      </w:pPr>
      <w:r w:rsidRPr="00745B2C">
        <w:rPr>
          <w:rFonts w:asciiTheme="minorBidi" w:hAnsiTheme="minorBidi" w:cs="Cordia New"/>
          <w:b/>
          <w:bCs/>
          <w:sz w:val="32"/>
          <w:szCs w:val="32"/>
        </w:rPr>
        <w:t>Ms. Kevalin Wangpichayasuk, KResearch Deputy Managing Director,</w:t>
      </w:r>
      <w:r w:rsidRPr="00A2209A">
        <w:rPr>
          <w:rFonts w:asciiTheme="minorBidi" w:hAnsiTheme="minorBidi" w:cs="Cordia New"/>
          <w:sz w:val="32"/>
          <w:szCs w:val="32"/>
        </w:rPr>
        <w:t xml:space="preserve"> noted that the impact of the Middle East conflict on the business sector is likely to become more evident in the second half of the year. While there are positive signs, a full normalization of conditions will take time. Manufacturing output in most industries is expected to weaken on a year-on-year basis, primarily due to rising energy and petrochemical feedstock costs, the impact of US tariffs, and intense competition from imported goods. These factors are expected to cause the Manufacturing Production Index (MPI) to contract by 0.5 percent in 2026, marking the fourth consecutive year of decline. At the same time, ongoing flight reductions are expected to weigh on the tourism sector, particularly during the third quarter, before global events hosted in Thailand help support a recovery in the final quarter of the year. KResearch continues to forecast foreign tourist arrivals at 30 million for 2026. Although there remains some upside potential, the figure would still be lower than the 33 million visitors recorded in the previous year. Growth in arrivals from China is unlikely to fully offset declines in most long-haul markets. </w:t>
      </w:r>
    </w:p>
    <w:p w14:paraId="6BB35975" w14:textId="77777777" w:rsidR="00C75C97" w:rsidRPr="009A2708" w:rsidRDefault="00C75C97" w:rsidP="009A2708">
      <w:pPr>
        <w:pStyle w:val="NormalWeb"/>
        <w:spacing w:before="0" w:beforeAutospacing="0" w:after="0" w:afterAutospacing="0"/>
        <w:ind w:firstLine="720"/>
        <w:jc w:val="thaiDistribute"/>
        <w:rPr>
          <w:rFonts w:asciiTheme="minorBidi" w:hAnsiTheme="minorBidi" w:cstheme="minorBidi"/>
          <w:b/>
          <w:bCs/>
          <w:sz w:val="32"/>
          <w:szCs w:val="32"/>
        </w:rPr>
      </w:pPr>
    </w:p>
    <w:p w14:paraId="2068A297" w14:textId="77777777" w:rsidR="002B5992" w:rsidRDefault="002B5992" w:rsidP="00745B2C">
      <w:pPr>
        <w:ind w:firstLine="720"/>
        <w:jc w:val="thaiDistribute"/>
        <w:rPr>
          <w:rFonts w:asciiTheme="minorBidi" w:eastAsiaTheme="minorEastAsia" w:hAnsiTheme="minorBidi"/>
          <w:b/>
          <w:bCs/>
          <w:sz w:val="32"/>
          <w:szCs w:val="32"/>
          <w:lang w:eastAsia="zh-CN"/>
        </w:rPr>
      </w:pPr>
    </w:p>
    <w:p w14:paraId="468F9463" w14:textId="77777777" w:rsidR="002B5992" w:rsidRDefault="002B5992" w:rsidP="00745B2C">
      <w:pPr>
        <w:ind w:firstLine="720"/>
        <w:jc w:val="thaiDistribute"/>
        <w:rPr>
          <w:rFonts w:asciiTheme="minorBidi" w:eastAsiaTheme="minorEastAsia" w:hAnsiTheme="minorBidi"/>
          <w:b/>
          <w:bCs/>
          <w:sz w:val="32"/>
          <w:szCs w:val="32"/>
          <w:lang w:eastAsia="zh-CN"/>
        </w:rPr>
      </w:pPr>
    </w:p>
    <w:p w14:paraId="27738ABE" w14:textId="693237B2" w:rsidR="00A04DCB" w:rsidRPr="00745B2C" w:rsidRDefault="001569BB" w:rsidP="00745B2C">
      <w:pPr>
        <w:ind w:firstLine="720"/>
        <w:jc w:val="thaiDistribute"/>
        <w:rPr>
          <w:rFonts w:asciiTheme="minorBidi" w:hAnsiTheme="minorBidi"/>
          <w:sz w:val="32"/>
          <w:szCs w:val="32"/>
          <w:lang w:eastAsia="zh-CN"/>
        </w:rPr>
      </w:pPr>
      <w:r w:rsidRPr="00745B2C">
        <w:rPr>
          <w:rFonts w:asciiTheme="minorBidi" w:eastAsiaTheme="minorEastAsia" w:hAnsiTheme="minorBidi"/>
          <w:b/>
          <w:bCs/>
          <w:sz w:val="32"/>
          <w:szCs w:val="32"/>
          <w:lang w:eastAsia="zh-CN"/>
        </w:rPr>
        <w:t>Ms. Thanyalak Vacharachaisurapol, KResearch Deputy Managing Director,</w:t>
      </w:r>
      <w:r w:rsidRPr="00745B2C">
        <w:rPr>
          <w:rFonts w:asciiTheme="minorBidi" w:eastAsiaTheme="minorEastAsia" w:hAnsiTheme="minorBidi"/>
          <w:sz w:val="32"/>
          <w:szCs w:val="32"/>
          <w:lang w:eastAsia="zh-CN"/>
        </w:rPr>
        <w:t xml:space="preserve"> added that the loan trend in the Thai commercial banking system during the second half of the year has limited potential for recovery. Although KResearch has revised its 2026 loan growth forecast from an initial contraction of 0.7 percent to a modest expansion of </w:t>
      </w:r>
      <w:r w:rsidR="005D0CF4" w:rsidRPr="00745B2C">
        <w:rPr>
          <w:rFonts w:asciiTheme="minorBidi" w:eastAsiaTheme="minorEastAsia" w:hAnsiTheme="minorBidi"/>
          <w:sz w:val="32"/>
          <w:szCs w:val="32"/>
          <w:lang w:eastAsia="zh-CN"/>
        </w:rPr>
        <w:t xml:space="preserve">around </w:t>
      </w:r>
      <w:r w:rsidRPr="00745B2C">
        <w:rPr>
          <w:rFonts w:asciiTheme="minorBidi" w:eastAsiaTheme="minorEastAsia" w:hAnsiTheme="minorBidi"/>
          <w:sz w:val="32"/>
          <w:szCs w:val="32"/>
          <w:lang w:eastAsia="zh-CN"/>
        </w:rPr>
        <w:t>0.5 percent, this</w:t>
      </w:r>
      <w:r w:rsidR="00F52F90">
        <w:rPr>
          <w:rFonts w:asciiTheme="minorBidi" w:eastAsiaTheme="minorEastAsia" w:hAnsiTheme="minorBidi"/>
          <w:sz w:val="32"/>
          <w:szCs w:val="32"/>
          <w:lang w:eastAsia="zh-CN"/>
        </w:rPr>
        <w:t xml:space="preserve"> growth</w:t>
      </w:r>
      <w:r w:rsidRPr="00745B2C">
        <w:rPr>
          <w:rFonts w:asciiTheme="minorBidi" w:eastAsiaTheme="minorEastAsia" w:hAnsiTheme="minorBidi"/>
          <w:sz w:val="32"/>
          <w:szCs w:val="32"/>
          <w:lang w:eastAsia="zh-CN"/>
        </w:rPr>
        <w:t xml:space="preserve"> primarily reflects lending to the government and large corporates rather than retail</w:t>
      </w:r>
      <w:r w:rsidR="00B66D1C" w:rsidRPr="00745B2C">
        <w:rPr>
          <w:rFonts w:asciiTheme="minorBidi" w:eastAsiaTheme="minorEastAsia" w:hAnsiTheme="minorBidi"/>
          <w:sz w:val="32"/>
          <w:szCs w:val="32"/>
          <w:lang w:eastAsia="zh-CN"/>
        </w:rPr>
        <w:t xml:space="preserve"> borrowers. </w:t>
      </w:r>
      <w:r w:rsidRPr="00745B2C">
        <w:rPr>
          <w:rFonts w:asciiTheme="minorBidi" w:eastAsiaTheme="minorEastAsia" w:hAnsiTheme="minorBidi"/>
          <w:sz w:val="32"/>
          <w:szCs w:val="32"/>
          <w:lang w:eastAsia="zh-CN"/>
        </w:rPr>
        <w:t xml:space="preserve">Furthermore, </w:t>
      </w:r>
      <w:r w:rsidR="0086695D" w:rsidRPr="00745B2C">
        <w:rPr>
          <w:rFonts w:asciiTheme="minorBidi" w:eastAsiaTheme="minorEastAsia" w:hAnsiTheme="minorBidi"/>
          <w:sz w:val="32"/>
          <w:szCs w:val="32"/>
          <w:lang w:eastAsia="zh-CN"/>
        </w:rPr>
        <w:t>factors</w:t>
      </w:r>
      <w:r w:rsidR="00F95638" w:rsidRPr="00745B2C">
        <w:rPr>
          <w:rFonts w:asciiTheme="minorBidi" w:eastAsiaTheme="minorEastAsia" w:hAnsiTheme="minorBidi"/>
          <w:sz w:val="32"/>
          <w:szCs w:val="32"/>
          <w:lang w:eastAsia="zh-CN"/>
        </w:rPr>
        <w:t xml:space="preserve"> that </w:t>
      </w:r>
      <w:r w:rsidR="0086695D" w:rsidRPr="00745B2C">
        <w:rPr>
          <w:rFonts w:asciiTheme="minorBidi" w:eastAsiaTheme="minorEastAsia" w:hAnsiTheme="minorBidi"/>
          <w:sz w:val="32"/>
          <w:szCs w:val="32"/>
          <w:lang w:eastAsia="zh-CN"/>
        </w:rPr>
        <w:t xml:space="preserve">warrant monitoring </w:t>
      </w:r>
      <w:r w:rsidRPr="00745B2C">
        <w:rPr>
          <w:rFonts w:asciiTheme="minorBidi" w:eastAsiaTheme="minorEastAsia" w:hAnsiTheme="minorBidi"/>
          <w:sz w:val="32"/>
          <w:szCs w:val="32"/>
          <w:lang w:eastAsia="zh-CN"/>
        </w:rPr>
        <w:t xml:space="preserve">for the business sector include funding costs that may stay elevated, the success rate of fundraising through the bond market, and the non-performing loan (NPL) issue within the Thai banking system – which currently relies heavily on debt restructuring and proactive debt management to prevent overall NPL figures from deteriorating too rapidly. </w:t>
      </w:r>
    </w:p>
    <w:sectPr w:rsidR="00A04DCB" w:rsidRPr="00745B2C" w:rsidSect="009A2708">
      <w:footerReference w:type="default" r:id="rId12"/>
      <w:pgSz w:w="11906" w:h="16838"/>
      <w:pgMar w:top="568" w:right="849"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C9C7" w14:textId="77777777" w:rsidR="00697F60" w:rsidRDefault="00697F60" w:rsidP="00F73D01">
      <w:pPr>
        <w:spacing w:after="0" w:line="240" w:lineRule="auto"/>
      </w:pPr>
      <w:r>
        <w:separator/>
      </w:r>
    </w:p>
  </w:endnote>
  <w:endnote w:type="continuationSeparator" w:id="0">
    <w:p w14:paraId="643DD474" w14:textId="77777777" w:rsidR="00697F60" w:rsidRDefault="00697F60" w:rsidP="00F7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23EA" w14:textId="5542F490" w:rsidR="00EC0D11" w:rsidRDefault="00EC0D11">
    <w:pPr>
      <w:pStyle w:val="Footer"/>
      <w:jc w:val="right"/>
    </w:pPr>
  </w:p>
  <w:p w14:paraId="77503394" w14:textId="77777777" w:rsidR="00F73D01" w:rsidRDefault="00F7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E0F4" w14:textId="77777777" w:rsidR="00697F60" w:rsidRDefault="00697F60" w:rsidP="00F73D01">
      <w:pPr>
        <w:spacing w:after="0" w:line="240" w:lineRule="auto"/>
      </w:pPr>
      <w:r>
        <w:separator/>
      </w:r>
    </w:p>
  </w:footnote>
  <w:footnote w:type="continuationSeparator" w:id="0">
    <w:p w14:paraId="727EF873" w14:textId="77777777" w:rsidR="00697F60" w:rsidRDefault="00697F60" w:rsidP="00F7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7CCC"/>
    <w:multiLevelType w:val="multilevel"/>
    <w:tmpl w:val="F92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74840"/>
    <w:multiLevelType w:val="multilevel"/>
    <w:tmpl w:val="29668D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AF36975"/>
    <w:multiLevelType w:val="hybridMultilevel"/>
    <w:tmpl w:val="EE76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907D06"/>
    <w:multiLevelType w:val="hybridMultilevel"/>
    <w:tmpl w:val="571A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9965649">
    <w:abstractNumId w:val="0"/>
  </w:num>
  <w:num w:numId="2" w16cid:durableId="2107650103">
    <w:abstractNumId w:val="2"/>
  </w:num>
  <w:num w:numId="3" w16cid:durableId="805244951">
    <w:abstractNumId w:val="1"/>
  </w:num>
  <w:num w:numId="4" w16cid:durableId="699280351">
    <w:abstractNumId w:val="2"/>
  </w:num>
  <w:num w:numId="5" w16cid:durableId="146888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35"/>
    <w:rsid w:val="00004683"/>
    <w:rsid w:val="00013185"/>
    <w:rsid w:val="00013ACC"/>
    <w:rsid w:val="000144B9"/>
    <w:rsid w:val="000151A6"/>
    <w:rsid w:val="0001698C"/>
    <w:rsid w:val="00016E94"/>
    <w:rsid w:val="000208A1"/>
    <w:rsid w:val="000239E0"/>
    <w:rsid w:val="00027A7E"/>
    <w:rsid w:val="0003158B"/>
    <w:rsid w:val="00031E90"/>
    <w:rsid w:val="00032254"/>
    <w:rsid w:val="00034030"/>
    <w:rsid w:val="000428E7"/>
    <w:rsid w:val="00043902"/>
    <w:rsid w:val="000476E4"/>
    <w:rsid w:val="00056895"/>
    <w:rsid w:val="00064B85"/>
    <w:rsid w:val="0007620E"/>
    <w:rsid w:val="000775B6"/>
    <w:rsid w:val="00077D97"/>
    <w:rsid w:val="000852D7"/>
    <w:rsid w:val="00085D04"/>
    <w:rsid w:val="00093957"/>
    <w:rsid w:val="000A071C"/>
    <w:rsid w:val="000A2461"/>
    <w:rsid w:val="000B0A9A"/>
    <w:rsid w:val="000B2310"/>
    <w:rsid w:val="000B54CD"/>
    <w:rsid w:val="000B5FCD"/>
    <w:rsid w:val="000C0E6D"/>
    <w:rsid w:val="000C55F1"/>
    <w:rsid w:val="000D50CF"/>
    <w:rsid w:val="000D5C77"/>
    <w:rsid w:val="000D6540"/>
    <w:rsid w:val="000E5C27"/>
    <w:rsid w:val="000F0AA3"/>
    <w:rsid w:val="000F0F24"/>
    <w:rsid w:val="000F2010"/>
    <w:rsid w:val="000F216C"/>
    <w:rsid w:val="000F35DD"/>
    <w:rsid w:val="000F43A4"/>
    <w:rsid w:val="000F6810"/>
    <w:rsid w:val="00102485"/>
    <w:rsid w:val="00106809"/>
    <w:rsid w:val="00111C9C"/>
    <w:rsid w:val="0011217D"/>
    <w:rsid w:val="00112D20"/>
    <w:rsid w:val="00113426"/>
    <w:rsid w:val="00115049"/>
    <w:rsid w:val="00120553"/>
    <w:rsid w:val="00120C4C"/>
    <w:rsid w:val="00126222"/>
    <w:rsid w:val="00127A43"/>
    <w:rsid w:val="00133E8A"/>
    <w:rsid w:val="0013436E"/>
    <w:rsid w:val="0014160D"/>
    <w:rsid w:val="001439C9"/>
    <w:rsid w:val="0014646E"/>
    <w:rsid w:val="00151CF9"/>
    <w:rsid w:val="001569BB"/>
    <w:rsid w:val="0016649C"/>
    <w:rsid w:val="0017081E"/>
    <w:rsid w:val="00170F95"/>
    <w:rsid w:val="00175B39"/>
    <w:rsid w:val="00180B07"/>
    <w:rsid w:val="00180D4D"/>
    <w:rsid w:val="00181AEB"/>
    <w:rsid w:val="001852BD"/>
    <w:rsid w:val="001866DA"/>
    <w:rsid w:val="00190C3F"/>
    <w:rsid w:val="001923B5"/>
    <w:rsid w:val="001970FF"/>
    <w:rsid w:val="001A1CE1"/>
    <w:rsid w:val="001A31EC"/>
    <w:rsid w:val="001B04CE"/>
    <w:rsid w:val="001B0FCF"/>
    <w:rsid w:val="001B2738"/>
    <w:rsid w:val="001B61B9"/>
    <w:rsid w:val="001C00CF"/>
    <w:rsid w:val="001C22E1"/>
    <w:rsid w:val="001C3015"/>
    <w:rsid w:val="001C70AE"/>
    <w:rsid w:val="001D0A87"/>
    <w:rsid w:val="001D2686"/>
    <w:rsid w:val="001D359C"/>
    <w:rsid w:val="001E010B"/>
    <w:rsid w:val="001E0C17"/>
    <w:rsid w:val="001E7B89"/>
    <w:rsid w:val="001E7C0D"/>
    <w:rsid w:val="001F1432"/>
    <w:rsid w:val="001F37FF"/>
    <w:rsid w:val="001F4BD2"/>
    <w:rsid w:val="001F4C7E"/>
    <w:rsid w:val="00203546"/>
    <w:rsid w:val="00204BEC"/>
    <w:rsid w:val="00204C3C"/>
    <w:rsid w:val="00211066"/>
    <w:rsid w:val="0022065A"/>
    <w:rsid w:val="002212F1"/>
    <w:rsid w:val="00223419"/>
    <w:rsid w:val="002257D1"/>
    <w:rsid w:val="0022648B"/>
    <w:rsid w:val="00231EB7"/>
    <w:rsid w:val="00232E38"/>
    <w:rsid w:val="00233329"/>
    <w:rsid w:val="00241CB4"/>
    <w:rsid w:val="00244875"/>
    <w:rsid w:val="0024509C"/>
    <w:rsid w:val="002452B2"/>
    <w:rsid w:val="00247358"/>
    <w:rsid w:val="00247360"/>
    <w:rsid w:val="0027089D"/>
    <w:rsid w:val="002826A3"/>
    <w:rsid w:val="00282805"/>
    <w:rsid w:val="002835BA"/>
    <w:rsid w:val="002843DE"/>
    <w:rsid w:val="00284498"/>
    <w:rsid w:val="00286303"/>
    <w:rsid w:val="00297942"/>
    <w:rsid w:val="002A2DCB"/>
    <w:rsid w:val="002A65CE"/>
    <w:rsid w:val="002A703B"/>
    <w:rsid w:val="002B4E95"/>
    <w:rsid w:val="002B50BB"/>
    <w:rsid w:val="002B5992"/>
    <w:rsid w:val="002B6616"/>
    <w:rsid w:val="002B665D"/>
    <w:rsid w:val="002B7271"/>
    <w:rsid w:val="002C112A"/>
    <w:rsid w:val="002C1F7E"/>
    <w:rsid w:val="002C303A"/>
    <w:rsid w:val="002C3F45"/>
    <w:rsid w:val="002C65A0"/>
    <w:rsid w:val="002C7356"/>
    <w:rsid w:val="002C7B89"/>
    <w:rsid w:val="002D584E"/>
    <w:rsid w:val="002E1646"/>
    <w:rsid w:val="002E3C0D"/>
    <w:rsid w:val="002E4FD7"/>
    <w:rsid w:val="002E6498"/>
    <w:rsid w:val="002E65C8"/>
    <w:rsid w:val="002E6C33"/>
    <w:rsid w:val="003004D3"/>
    <w:rsid w:val="00303D13"/>
    <w:rsid w:val="0030460D"/>
    <w:rsid w:val="00304A35"/>
    <w:rsid w:val="0031088F"/>
    <w:rsid w:val="00312DAF"/>
    <w:rsid w:val="003147D5"/>
    <w:rsid w:val="00315E03"/>
    <w:rsid w:val="00322DC2"/>
    <w:rsid w:val="0033078C"/>
    <w:rsid w:val="00334556"/>
    <w:rsid w:val="00336CBD"/>
    <w:rsid w:val="003460D0"/>
    <w:rsid w:val="00346383"/>
    <w:rsid w:val="00351D24"/>
    <w:rsid w:val="00352416"/>
    <w:rsid w:val="00357842"/>
    <w:rsid w:val="00357FE3"/>
    <w:rsid w:val="003611E5"/>
    <w:rsid w:val="00361215"/>
    <w:rsid w:val="00362BDE"/>
    <w:rsid w:val="00366931"/>
    <w:rsid w:val="00366CDB"/>
    <w:rsid w:val="00366D3D"/>
    <w:rsid w:val="003670AD"/>
    <w:rsid w:val="00372630"/>
    <w:rsid w:val="003726EE"/>
    <w:rsid w:val="00375C10"/>
    <w:rsid w:val="0037642F"/>
    <w:rsid w:val="003867B6"/>
    <w:rsid w:val="00386D3D"/>
    <w:rsid w:val="003918B6"/>
    <w:rsid w:val="00391900"/>
    <w:rsid w:val="003A3276"/>
    <w:rsid w:val="003A3ED4"/>
    <w:rsid w:val="003A5692"/>
    <w:rsid w:val="003A7A9D"/>
    <w:rsid w:val="003B08A9"/>
    <w:rsid w:val="003B1320"/>
    <w:rsid w:val="003B1D11"/>
    <w:rsid w:val="003B23EB"/>
    <w:rsid w:val="003C6BA9"/>
    <w:rsid w:val="003C6BB2"/>
    <w:rsid w:val="003D04A5"/>
    <w:rsid w:val="003D263F"/>
    <w:rsid w:val="003D2D97"/>
    <w:rsid w:val="003D6056"/>
    <w:rsid w:val="003D7184"/>
    <w:rsid w:val="003E2AEF"/>
    <w:rsid w:val="003E2DCB"/>
    <w:rsid w:val="003E4660"/>
    <w:rsid w:val="003E4B36"/>
    <w:rsid w:val="003E5C77"/>
    <w:rsid w:val="003F07EA"/>
    <w:rsid w:val="003F081D"/>
    <w:rsid w:val="003F235D"/>
    <w:rsid w:val="003F3B8F"/>
    <w:rsid w:val="00400040"/>
    <w:rsid w:val="00405440"/>
    <w:rsid w:val="00410235"/>
    <w:rsid w:val="00410FB9"/>
    <w:rsid w:val="004201F6"/>
    <w:rsid w:val="004203F2"/>
    <w:rsid w:val="00424CD3"/>
    <w:rsid w:val="00425626"/>
    <w:rsid w:val="004302AE"/>
    <w:rsid w:val="00430625"/>
    <w:rsid w:val="00430C9B"/>
    <w:rsid w:val="004376FD"/>
    <w:rsid w:val="00440850"/>
    <w:rsid w:val="00441F5E"/>
    <w:rsid w:val="00442021"/>
    <w:rsid w:val="004424FE"/>
    <w:rsid w:val="00445A02"/>
    <w:rsid w:val="00446881"/>
    <w:rsid w:val="00451433"/>
    <w:rsid w:val="00452288"/>
    <w:rsid w:val="00453F08"/>
    <w:rsid w:val="00463895"/>
    <w:rsid w:val="004644D4"/>
    <w:rsid w:val="00471767"/>
    <w:rsid w:val="004719C4"/>
    <w:rsid w:val="00476C9A"/>
    <w:rsid w:val="004804AD"/>
    <w:rsid w:val="0048283F"/>
    <w:rsid w:val="00484AE9"/>
    <w:rsid w:val="00490558"/>
    <w:rsid w:val="0049136C"/>
    <w:rsid w:val="0049286D"/>
    <w:rsid w:val="00492B48"/>
    <w:rsid w:val="004931D1"/>
    <w:rsid w:val="00493C11"/>
    <w:rsid w:val="00495931"/>
    <w:rsid w:val="004A3238"/>
    <w:rsid w:val="004A3C12"/>
    <w:rsid w:val="004A47FC"/>
    <w:rsid w:val="004A6193"/>
    <w:rsid w:val="004B09B2"/>
    <w:rsid w:val="004B4099"/>
    <w:rsid w:val="004B5EE5"/>
    <w:rsid w:val="004B6A28"/>
    <w:rsid w:val="004C2873"/>
    <w:rsid w:val="004C3752"/>
    <w:rsid w:val="004C58BD"/>
    <w:rsid w:val="004C6C1D"/>
    <w:rsid w:val="004F2C14"/>
    <w:rsid w:val="004F3F38"/>
    <w:rsid w:val="004F7275"/>
    <w:rsid w:val="00504002"/>
    <w:rsid w:val="005042DD"/>
    <w:rsid w:val="00505F53"/>
    <w:rsid w:val="00512948"/>
    <w:rsid w:val="00514399"/>
    <w:rsid w:val="00514EE1"/>
    <w:rsid w:val="00517B42"/>
    <w:rsid w:val="00520374"/>
    <w:rsid w:val="00521A60"/>
    <w:rsid w:val="00521B22"/>
    <w:rsid w:val="00523766"/>
    <w:rsid w:val="0052420A"/>
    <w:rsid w:val="00524E01"/>
    <w:rsid w:val="00525099"/>
    <w:rsid w:val="00527EEB"/>
    <w:rsid w:val="00533F21"/>
    <w:rsid w:val="005356D6"/>
    <w:rsid w:val="005358FE"/>
    <w:rsid w:val="0053747B"/>
    <w:rsid w:val="00540E53"/>
    <w:rsid w:val="005423D9"/>
    <w:rsid w:val="0054502C"/>
    <w:rsid w:val="005468C7"/>
    <w:rsid w:val="00547F38"/>
    <w:rsid w:val="005537FC"/>
    <w:rsid w:val="005567B4"/>
    <w:rsid w:val="00561BF8"/>
    <w:rsid w:val="005649DE"/>
    <w:rsid w:val="00566177"/>
    <w:rsid w:val="00574F10"/>
    <w:rsid w:val="00576D53"/>
    <w:rsid w:val="00576F6A"/>
    <w:rsid w:val="005820DD"/>
    <w:rsid w:val="00585DC1"/>
    <w:rsid w:val="00593CEC"/>
    <w:rsid w:val="005A0691"/>
    <w:rsid w:val="005A1321"/>
    <w:rsid w:val="005A2E09"/>
    <w:rsid w:val="005A48F4"/>
    <w:rsid w:val="005A797C"/>
    <w:rsid w:val="005B1D53"/>
    <w:rsid w:val="005B1E77"/>
    <w:rsid w:val="005B2261"/>
    <w:rsid w:val="005B4027"/>
    <w:rsid w:val="005B4130"/>
    <w:rsid w:val="005C1EC1"/>
    <w:rsid w:val="005C6105"/>
    <w:rsid w:val="005D0CF4"/>
    <w:rsid w:val="005D4863"/>
    <w:rsid w:val="005D4904"/>
    <w:rsid w:val="005D5695"/>
    <w:rsid w:val="005D62DF"/>
    <w:rsid w:val="005D64DD"/>
    <w:rsid w:val="005D7463"/>
    <w:rsid w:val="005E4988"/>
    <w:rsid w:val="005F22E5"/>
    <w:rsid w:val="005F2CE7"/>
    <w:rsid w:val="005F3443"/>
    <w:rsid w:val="005F5363"/>
    <w:rsid w:val="005F775A"/>
    <w:rsid w:val="005F78A5"/>
    <w:rsid w:val="00601DF7"/>
    <w:rsid w:val="0060499D"/>
    <w:rsid w:val="00605004"/>
    <w:rsid w:val="00605F5E"/>
    <w:rsid w:val="0060678B"/>
    <w:rsid w:val="006074B1"/>
    <w:rsid w:val="00607768"/>
    <w:rsid w:val="00607B53"/>
    <w:rsid w:val="00611838"/>
    <w:rsid w:val="006118F7"/>
    <w:rsid w:val="006141EE"/>
    <w:rsid w:val="00614FB5"/>
    <w:rsid w:val="0061573B"/>
    <w:rsid w:val="00621F00"/>
    <w:rsid w:val="00622B81"/>
    <w:rsid w:val="00623818"/>
    <w:rsid w:val="00623ACA"/>
    <w:rsid w:val="0062471A"/>
    <w:rsid w:val="0063343C"/>
    <w:rsid w:val="006375D7"/>
    <w:rsid w:val="00640698"/>
    <w:rsid w:val="0064202E"/>
    <w:rsid w:val="0064326C"/>
    <w:rsid w:val="006440DA"/>
    <w:rsid w:val="0064785B"/>
    <w:rsid w:val="0065127C"/>
    <w:rsid w:val="0065769F"/>
    <w:rsid w:val="00660D64"/>
    <w:rsid w:val="00661D88"/>
    <w:rsid w:val="006638E8"/>
    <w:rsid w:val="00665407"/>
    <w:rsid w:val="00676757"/>
    <w:rsid w:val="006800AD"/>
    <w:rsid w:val="00683607"/>
    <w:rsid w:val="00683C06"/>
    <w:rsid w:val="00683D1D"/>
    <w:rsid w:val="00684F4A"/>
    <w:rsid w:val="00687354"/>
    <w:rsid w:val="006924EE"/>
    <w:rsid w:val="00693608"/>
    <w:rsid w:val="0069695C"/>
    <w:rsid w:val="00697F60"/>
    <w:rsid w:val="006A1817"/>
    <w:rsid w:val="006A29A0"/>
    <w:rsid w:val="006A5CF1"/>
    <w:rsid w:val="006B110B"/>
    <w:rsid w:val="006B2800"/>
    <w:rsid w:val="006B3546"/>
    <w:rsid w:val="006C181A"/>
    <w:rsid w:val="006C29C0"/>
    <w:rsid w:val="006C5B89"/>
    <w:rsid w:val="006C6232"/>
    <w:rsid w:val="006E414E"/>
    <w:rsid w:val="006E4ECC"/>
    <w:rsid w:val="006E55BA"/>
    <w:rsid w:val="006E5E26"/>
    <w:rsid w:val="006E6B3B"/>
    <w:rsid w:val="006F038A"/>
    <w:rsid w:val="006F1D05"/>
    <w:rsid w:val="006F1FBF"/>
    <w:rsid w:val="006F2094"/>
    <w:rsid w:val="006F2572"/>
    <w:rsid w:val="006F3829"/>
    <w:rsid w:val="006F5590"/>
    <w:rsid w:val="0070147C"/>
    <w:rsid w:val="00701F08"/>
    <w:rsid w:val="007057A4"/>
    <w:rsid w:val="00715F39"/>
    <w:rsid w:val="0072433B"/>
    <w:rsid w:val="007259CC"/>
    <w:rsid w:val="00732072"/>
    <w:rsid w:val="00732B59"/>
    <w:rsid w:val="0073614B"/>
    <w:rsid w:val="00736FE6"/>
    <w:rsid w:val="00745B2C"/>
    <w:rsid w:val="00753378"/>
    <w:rsid w:val="00755135"/>
    <w:rsid w:val="00757C09"/>
    <w:rsid w:val="00760F83"/>
    <w:rsid w:val="00760FB4"/>
    <w:rsid w:val="00761714"/>
    <w:rsid w:val="0076284D"/>
    <w:rsid w:val="007729B4"/>
    <w:rsid w:val="007741C9"/>
    <w:rsid w:val="0077542D"/>
    <w:rsid w:val="0077707D"/>
    <w:rsid w:val="00782C8B"/>
    <w:rsid w:val="007869DD"/>
    <w:rsid w:val="0079131E"/>
    <w:rsid w:val="00792940"/>
    <w:rsid w:val="0079355E"/>
    <w:rsid w:val="00794116"/>
    <w:rsid w:val="00795693"/>
    <w:rsid w:val="00795EF2"/>
    <w:rsid w:val="00797168"/>
    <w:rsid w:val="007A00A3"/>
    <w:rsid w:val="007A057F"/>
    <w:rsid w:val="007A14DA"/>
    <w:rsid w:val="007A33EC"/>
    <w:rsid w:val="007B1F98"/>
    <w:rsid w:val="007B61B6"/>
    <w:rsid w:val="007C082F"/>
    <w:rsid w:val="007C3350"/>
    <w:rsid w:val="007C4D25"/>
    <w:rsid w:val="007C6A90"/>
    <w:rsid w:val="007D0804"/>
    <w:rsid w:val="007D0BFA"/>
    <w:rsid w:val="007D10A1"/>
    <w:rsid w:val="007D279D"/>
    <w:rsid w:val="007E143A"/>
    <w:rsid w:val="007E5492"/>
    <w:rsid w:val="007E6CA1"/>
    <w:rsid w:val="007F13CC"/>
    <w:rsid w:val="007F151A"/>
    <w:rsid w:val="007F2D6C"/>
    <w:rsid w:val="007F366C"/>
    <w:rsid w:val="007F42D6"/>
    <w:rsid w:val="007F6EBD"/>
    <w:rsid w:val="007F75CA"/>
    <w:rsid w:val="00800F4B"/>
    <w:rsid w:val="00801768"/>
    <w:rsid w:val="00806D30"/>
    <w:rsid w:val="00811BF0"/>
    <w:rsid w:val="0081436D"/>
    <w:rsid w:val="00814C4C"/>
    <w:rsid w:val="008167BB"/>
    <w:rsid w:val="00820CB0"/>
    <w:rsid w:val="00824216"/>
    <w:rsid w:val="00825332"/>
    <w:rsid w:val="00826296"/>
    <w:rsid w:val="00826598"/>
    <w:rsid w:val="008304F8"/>
    <w:rsid w:val="00832100"/>
    <w:rsid w:val="00832623"/>
    <w:rsid w:val="008344F8"/>
    <w:rsid w:val="00834563"/>
    <w:rsid w:val="00842290"/>
    <w:rsid w:val="00847209"/>
    <w:rsid w:val="008472AD"/>
    <w:rsid w:val="00850D39"/>
    <w:rsid w:val="00861CDF"/>
    <w:rsid w:val="00864D63"/>
    <w:rsid w:val="0086695D"/>
    <w:rsid w:val="00870963"/>
    <w:rsid w:val="00874D99"/>
    <w:rsid w:val="008836B6"/>
    <w:rsid w:val="00884B66"/>
    <w:rsid w:val="00890E98"/>
    <w:rsid w:val="008924B9"/>
    <w:rsid w:val="008937C0"/>
    <w:rsid w:val="00895454"/>
    <w:rsid w:val="00896561"/>
    <w:rsid w:val="00897139"/>
    <w:rsid w:val="008B3156"/>
    <w:rsid w:val="008B365C"/>
    <w:rsid w:val="008B3FE8"/>
    <w:rsid w:val="008B7AC9"/>
    <w:rsid w:val="008C13F0"/>
    <w:rsid w:val="008C70DD"/>
    <w:rsid w:val="008D3F70"/>
    <w:rsid w:val="008E022B"/>
    <w:rsid w:val="008E33E5"/>
    <w:rsid w:val="008E43B9"/>
    <w:rsid w:val="008E67EB"/>
    <w:rsid w:val="008E7850"/>
    <w:rsid w:val="008E7DB3"/>
    <w:rsid w:val="008F03A2"/>
    <w:rsid w:val="008F3B5E"/>
    <w:rsid w:val="008F4E74"/>
    <w:rsid w:val="008F5293"/>
    <w:rsid w:val="008F545F"/>
    <w:rsid w:val="008F7066"/>
    <w:rsid w:val="00900A55"/>
    <w:rsid w:val="00903A0F"/>
    <w:rsid w:val="00906241"/>
    <w:rsid w:val="00906928"/>
    <w:rsid w:val="009137EC"/>
    <w:rsid w:val="0091657E"/>
    <w:rsid w:val="009210DF"/>
    <w:rsid w:val="009276B4"/>
    <w:rsid w:val="009305B6"/>
    <w:rsid w:val="00930B23"/>
    <w:rsid w:val="00933AB3"/>
    <w:rsid w:val="00933C02"/>
    <w:rsid w:val="009353C9"/>
    <w:rsid w:val="009412CD"/>
    <w:rsid w:val="00942883"/>
    <w:rsid w:val="00947D72"/>
    <w:rsid w:val="0095136A"/>
    <w:rsid w:val="009542D4"/>
    <w:rsid w:val="009578BD"/>
    <w:rsid w:val="0096065A"/>
    <w:rsid w:val="0096065E"/>
    <w:rsid w:val="00961912"/>
    <w:rsid w:val="00961DFB"/>
    <w:rsid w:val="00966817"/>
    <w:rsid w:val="0097016E"/>
    <w:rsid w:val="0097394A"/>
    <w:rsid w:val="00974E9D"/>
    <w:rsid w:val="009930AA"/>
    <w:rsid w:val="009949CB"/>
    <w:rsid w:val="009A2708"/>
    <w:rsid w:val="009A3431"/>
    <w:rsid w:val="009B01F5"/>
    <w:rsid w:val="009B09C0"/>
    <w:rsid w:val="009B51F5"/>
    <w:rsid w:val="009B7869"/>
    <w:rsid w:val="009C61E3"/>
    <w:rsid w:val="009C795C"/>
    <w:rsid w:val="009D16BA"/>
    <w:rsid w:val="009E0253"/>
    <w:rsid w:val="009E095A"/>
    <w:rsid w:val="009E0AFE"/>
    <w:rsid w:val="009E2FDA"/>
    <w:rsid w:val="009F0F87"/>
    <w:rsid w:val="009F1AA6"/>
    <w:rsid w:val="009F2CF0"/>
    <w:rsid w:val="009F351C"/>
    <w:rsid w:val="009F5CC8"/>
    <w:rsid w:val="009F5DD0"/>
    <w:rsid w:val="009F6C85"/>
    <w:rsid w:val="00A03A66"/>
    <w:rsid w:val="00A04DCB"/>
    <w:rsid w:val="00A05449"/>
    <w:rsid w:val="00A12829"/>
    <w:rsid w:val="00A15430"/>
    <w:rsid w:val="00A1566F"/>
    <w:rsid w:val="00A174D1"/>
    <w:rsid w:val="00A17AB2"/>
    <w:rsid w:val="00A2209A"/>
    <w:rsid w:val="00A2252F"/>
    <w:rsid w:val="00A23A88"/>
    <w:rsid w:val="00A23D09"/>
    <w:rsid w:val="00A3310B"/>
    <w:rsid w:val="00A34833"/>
    <w:rsid w:val="00A34BDB"/>
    <w:rsid w:val="00A35441"/>
    <w:rsid w:val="00A41CF5"/>
    <w:rsid w:val="00A43A12"/>
    <w:rsid w:val="00A44865"/>
    <w:rsid w:val="00A44FCE"/>
    <w:rsid w:val="00A45D59"/>
    <w:rsid w:val="00A46835"/>
    <w:rsid w:val="00A468A8"/>
    <w:rsid w:val="00A5411F"/>
    <w:rsid w:val="00A5471F"/>
    <w:rsid w:val="00A55B78"/>
    <w:rsid w:val="00A60737"/>
    <w:rsid w:val="00A62EE5"/>
    <w:rsid w:val="00A65D65"/>
    <w:rsid w:val="00A741A6"/>
    <w:rsid w:val="00A75D22"/>
    <w:rsid w:val="00A84037"/>
    <w:rsid w:val="00A851DC"/>
    <w:rsid w:val="00A866C3"/>
    <w:rsid w:val="00A87D7A"/>
    <w:rsid w:val="00A910A2"/>
    <w:rsid w:val="00A922AD"/>
    <w:rsid w:val="00A9487A"/>
    <w:rsid w:val="00AA0047"/>
    <w:rsid w:val="00AA0464"/>
    <w:rsid w:val="00AA09F8"/>
    <w:rsid w:val="00AA2060"/>
    <w:rsid w:val="00AA757A"/>
    <w:rsid w:val="00AB0C75"/>
    <w:rsid w:val="00AB23E3"/>
    <w:rsid w:val="00AB5423"/>
    <w:rsid w:val="00AB5F86"/>
    <w:rsid w:val="00AC0E7B"/>
    <w:rsid w:val="00AC1521"/>
    <w:rsid w:val="00AC4400"/>
    <w:rsid w:val="00AC75E1"/>
    <w:rsid w:val="00AD3615"/>
    <w:rsid w:val="00AD554C"/>
    <w:rsid w:val="00AD7DCA"/>
    <w:rsid w:val="00AE1971"/>
    <w:rsid w:val="00AE3531"/>
    <w:rsid w:val="00AE4E14"/>
    <w:rsid w:val="00AF2C22"/>
    <w:rsid w:val="00AF4A46"/>
    <w:rsid w:val="00AF4DF6"/>
    <w:rsid w:val="00AF6012"/>
    <w:rsid w:val="00B00E7C"/>
    <w:rsid w:val="00B01BD6"/>
    <w:rsid w:val="00B054EE"/>
    <w:rsid w:val="00B07E7C"/>
    <w:rsid w:val="00B121C3"/>
    <w:rsid w:val="00B15086"/>
    <w:rsid w:val="00B1742F"/>
    <w:rsid w:val="00B238E4"/>
    <w:rsid w:val="00B2597A"/>
    <w:rsid w:val="00B275A0"/>
    <w:rsid w:val="00B2782F"/>
    <w:rsid w:val="00B428D5"/>
    <w:rsid w:val="00B42A36"/>
    <w:rsid w:val="00B43464"/>
    <w:rsid w:val="00B43A00"/>
    <w:rsid w:val="00B4531D"/>
    <w:rsid w:val="00B4604C"/>
    <w:rsid w:val="00B47F10"/>
    <w:rsid w:val="00B52B25"/>
    <w:rsid w:val="00B52E47"/>
    <w:rsid w:val="00B55FB2"/>
    <w:rsid w:val="00B565EE"/>
    <w:rsid w:val="00B64785"/>
    <w:rsid w:val="00B66D1C"/>
    <w:rsid w:val="00B70E00"/>
    <w:rsid w:val="00B714EA"/>
    <w:rsid w:val="00B73DE4"/>
    <w:rsid w:val="00B73F2B"/>
    <w:rsid w:val="00B74863"/>
    <w:rsid w:val="00B774E3"/>
    <w:rsid w:val="00B80870"/>
    <w:rsid w:val="00B826AF"/>
    <w:rsid w:val="00B83871"/>
    <w:rsid w:val="00B83E12"/>
    <w:rsid w:val="00B8582B"/>
    <w:rsid w:val="00B87E0D"/>
    <w:rsid w:val="00B9189D"/>
    <w:rsid w:val="00B9426A"/>
    <w:rsid w:val="00B94605"/>
    <w:rsid w:val="00B95133"/>
    <w:rsid w:val="00B95A09"/>
    <w:rsid w:val="00B96273"/>
    <w:rsid w:val="00B9645B"/>
    <w:rsid w:val="00B96C39"/>
    <w:rsid w:val="00B9737B"/>
    <w:rsid w:val="00BA093E"/>
    <w:rsid w:val="00BA1D2A"/>
    <w:rsid w:val="00BA3893"/>
    <w:rsid w:val="00BA4346"/>
    <w:rsid w:val="00BB002F"/>
    <w:rsid w:val="00BB0525"/>
    <w:rsid w:val="00BB6205"/>
    <w:rsid w:val="00BB6DA7"/>
    <w:rsid w:val="00BC1DB9"/>
    <w:rsid w:val="00BC2359"/>
    <w:rsid w:val="00BC657B"/>
    <w:rsid w:val="00BC7A12"/>
    <w:rsid w:val="00BD0319"/>
    <w:rsid w:val="00BD1824"/>
    <w:rsid w:val="00BD2C78"/>
    <w:rsid w:val="00BE316B"/>
    <w:rsid w:val="00BF0BCD"/>
    <w:rsid w:val="00BF12DF"/>
    <w:rsid w:val="00BF26EB"/>
    <w:rsid w:val="00BF5FC3"/>
    <w:rsid w:val="00C14651"/>
    <w:rsid w:val="00C15891"/>
    <w:rsid w:val="00C229AE"/>
    <w:rsid w:val="00C23ADF"/>
    <w:rsid w:val="00C27155"/>
    <w:rsid w:val="00C301DD"/>
    <w:rsid w:val="00C32E53"/>
    <w:rsid w:val="00C36DC1"/>
    <w:rsid w:val="00C37CBF"/>
    <w:rsid w:val="00C41331"/>
    <w:rsid w:val="00C41C76"/>
    <w:rsid w:val="00C43D22"/>
    <w:rsid w:val="00C43E95"/>
    <w:rsid w:val="00C452C4"/>
    <w:rsid w:val="00C4695B"/>
    <w:rsid w:val="00C56054"/>
    <w:rsid w:val="00C5749B"/>
    <w:rsid w:val="00C62834"/>
    <w:rsid w:val="00C737E2"/>
    <w:rsid w:val="00C7479D"/>
    <w:rsid w:val="00C7509B"/>
    <w:rsid w:val="00C75BC4"/>
    <w:rsid w:val="00C75C97"/>
    <w:rsid w:val="00C81DB2"/>
    <w:rsid w:val="00C82D6C"/>
    <w:rsid w:val="00C837A6"/>
    <w:rsid w:val="00C841C1"/>
    <w:rsid w:val="00C84258"/>
    <w:rsid w:val="00C87175"/>
    <w:rsid w:val="00C87808"/>
    <w:rsid w:val="00C879F8"/>
    <w:rsid w:val="00C93681"/>
    <w:rsid w:val="00C96451"/>
    <w:rsid w:val="00CA06CD"/>
    <w:rsid w:val="00CB4BFB"/>
    <w:rsid w:val="00CB6670"/>
    <w:rsid w:val="00CB72FD"/>
    <w:rsid w:val="00CB793C"/>
    <w:rsid w:val="00CC26AA"/>
    <w:rsid w:val="00CC373F"/>
    <w:rsid w:val="00CC49DB"/>
    <w:rsid w:val="00CC6AEC"/>
    <w:rsid w:val="00CD47B9"/>
    <w:rsid w:val="00CE5559"/>
    <w:rsid w:val="00CE643F"/>
    <w:rsid w:val="00CE7629"/>
    <w:rsid w:val="00CE7D99"/>
    <w:rsid w:val="00CF17CD"/>
    <w:rsid w:val="00CF1A12"/>
    <w:rsid w:val="00CF1D0A"/>
    <w:rsid w:val="00CF5857"/>
    <w:rsid w:val="00CF6823"/>
    <w:rsid w:val="00CF7453"/>
    <w:rsid w:val="00D00397"/>
    <w:rsid w:val="00D01666"/>
    <w:rsid w:val="00D07E0C"/>
    <w:rsid w:val="00D1196D"/>
    <w:rsid w:val="00D12E9A"/>
    <w:rsid w:val="00D132B2"/>
    <w:rsid w:val="00D135AC"/>
    <w:rsid w:val="00D15740"/>
    <w:rsid w:val="00D1738A"/>
    <w:rsid w:val="00D228B8"/>
    <w:rsid w:val="00D22CAF"/>
    <w:rsid w:val="00D27A32"/>
    <w:rsid w:val="00D3058D"/>
    <w:rsid w:val="00D31538"/>
    <w:rsid w:val="00D3345A"/>
    <w:rsid w:val="00D41759"/>
    <w:rsid w:val="00D4656C"/>
    <w:rsid w:val="00D50565"/>
    <w:rsid w:val="00D52CF1"/>
    <w:rsid w:val="00D54384"/>
    <w:rsid w:val="00D55E1D"/>
    <w:rsid w:val="00D61187"/>
    <w:rsid w:val="00D615CF"/>
    <w:rsid w:val="00D67E79"/>
    <w:rsid w:val="00D7016A"/>
    <w:rsid w:val="00D7082E"/>
    <w:rsid w:val="00D71925"/>
    <w:rsid w:val="00D726A6"/>
    <w:rsid w:val="00D73254"/>
    <w:rsid w:val="00D74D76"/>
    <w:rsid w:val="00D75CA1"/>
    <w:rsid w:val="00D800D8"/>
    <w:rsid w:val="00D821CE"/>
    <w:rsid w:val="00D8270A"/>
    <w:rsid w:val="00D84C2F"/>
    <w:rsid w:val="00D85F2C"/>
    <w:rsid w:val="00D8713B"/>
    <w:rsid w:val="00D91F7A"/>
    <w:rsid w:val="00D93A8C"/>
    <w:rsid w:val="00D94184"/>
    <w:rsid w:val="00D972B4"/>
    <w:rsid w:val="00DA2A66"/>
    <w:rsid w:val="00DA5C64"/>
    <w:rsid w:val="00DA78EE"/>
    <w:rsid w:val="00DA7FFE"/>
    <w:rsid w:val="00DB289C"/>
    <w:rsid w:val="00DB3ED0"/>
    <w:rsid w:val="00DB565A"/>
    <w:rsid w:val="00DB601C"/>
    <w:rsid w:val="00DD0DF3"/>
    <w:rsid w:val="00DD1EB4"/>
    <w:rsid w:val="00DD6A04"/>
    <w:rsid w:val="00DD6DED"/>
    <w:rsid w:val="00DE0F4D"/>
    <w:rsid w:val="00DF16C6"/>
    <w:rsid w:val="00DF2B4F"/>
    <w:rsid w:val="00DF3C42"/>
    <w:rsid w:val="00DF47CE"/>
    <w:rsid w:val="00E01028"/>
    <w:rsid w:val="00E13519"/>
    <w:rsid w:val="00E13810"/>
    <w:rsid w:val="00E146F0"/>
    <w:rsid w:val="00E153DF"/>
    <w:rsid w:val="00E16B5D"/>
    <w:rsid w:val="00E257E4"/>
    <w:rsid w:val="00E273F7"/>
    <w:rsid w:val="00E274CE"/>
    <w:rsid w:val="00E32282"/>
    <w:rsid w:val="00E35DFD"/>
    <w:rsid w:val="00E35FF1"/>
    <w:rsid w:val="00E36A03"/>
    <w:rsid w:val="00E36EDF"/>
    <w:rsid w:val="00E42025"/>
    <w:rsid w:val="00E45321"/>
    <w:rsid w:val="00E45640"/>
    <w:rsid w:val="00E459D1"/>
    <w:rsid w:val="00E472C1"/>
    <w:rsid w:val="00E5068D"/>
    <w:rsid w:val="00E54EE2"/>
    <w:rsid w:val="00E577F0"/>
    <w:rsid w:val="00E61317"/>
    <w:rsid w:val="00E66560"/>
    <w:rsid w:val="00E67DA5"/>
    <w:rsid w:val="00E734E7"/>
    <w:rsid w:val="00E753DB"/>
    <w:rsid w:val="00E84C16"/>
    <w:rsid w:val="00E84DCB"/>
    <w:rsid w:val="00E85906"/>
    <w:rsid w:val="00E86806"/>
    <w:rsid w:val="00E97197"/>
    <w:rsid w:val="00EA21A9"/>
    <w:rsid w:val="00EA3BA0"/>
    <w:rsid w:val="00EA6CE5"/>
    <w:rsid w:val="00EA7169"/>
    <w:rsid w:val="00EA729D"/>
    <w:rsid w:val="00EB12BB"/>
    <w:rsid w:val="00EB1702"/>
    <w:rsid w:val="00EB2701"/>
    <w:rsid w:val="00EB5371"/>
    <w:rsid w:val="00EB59DA"/>
    <w:rsid w:val="00EB5A03"/>
    <w:rsid w:val="00EB5EA6"/>
    <w:rsid w:val="00EB7038"/>
    <w:rsid w:val="00EB704C"/>
    <w:rsid w:val="00EC010B"/>
    <w:rsid w:val="00EC0D11"/>
    <w:rsid w:val="00EC2820"/>
    <w:rsid w:val="00EC5AF1"/>
    <w:rsid w:val="00EC6D2C"/>
    <w:rsid w:val="00ED4E3C"/>
    <w:rsid w:val="00EF0FF3"/>
    <w:rsid w:val="00EF1FFE"/>
    <w:rsid w:val="00EF4CF1"/>
    <w:rsid w:val="00EF78F7"/>
    <w:rsid w:val="00F01A66"/>
    <w:rsid w:val="00F0267B"/>
    <w:rsid w:val="00F035DD"/>
    <w:rsid w:val="00F11E80"/>
    <w:rsid w:val="00F12E10"/>
    <w:rsid w:val="00F157A5"/>
    <w:rsid w:val="00F2243F"/>
    <w:rsid w:val="00F22B83"/>
    <w:rsid w:val="00F2486F"/>
    <w:rsid w:val="00F266BB"/>
    <w:rsid w:val="00F26A32"/>
    <w:rsid w:val="00F26C29"/>
    <w:rsid w:val="00F30607"/>
    <w:rsid w:val="00F31F2B"/>
    <w:rsid w:val="00F320B4"/>
    <w:rsid w:val="00F364DD"/>
    <w:rsid w:val="00F37967"/>
    <w:rsid w:val="00F4120C"/>
    <w:rsid w:val="00F41AFC"/>
    <w:rsid w:val="00F4342C"/>
    <w:rsid w:val="00F43AFE"/>
    <w:rsid w:val="00F465F2"/>
    <w:rsid w:val="00F47AE5"/>
    <w:rsid w:val="00F52F90"/>
    <w:rsid w:val="00F56DAA"/>
    <w:rsid w:val="00F57896"/>
    <w:rsid w:val="00F60801"/>
    <w:rsid w:val="00F62C63"/>
    <w:rsid w:val="00F652EE"/>
    <w:rsid w:val="00F67737"/>
    <w:rsid w:val="00F72849"/>
    <w:rsid w:val="00F73074"/>
    <w:rsid w:val="00F73D01"/>
    <w:rsid w:val="00F80B94"/>
    <w:rsid w:val="00F82002"/>
    <w:rsid w:val="00F860D4"/>
    <w:rsid w:val="00F93B9C"/>
    <w:rsid w:val="00F95638"/>
    <w:rsid w:val="00F95EFA"/>
    <w:rsid w:val="00F961D6"/>
    <w:rsid w:val="00FA0444"/>
    <w:rsid w:val="00FA14F4"/>
    <w:rsid w:val="00FA34A9"/>
    <w:rsid w:val="00FA41BA"/>
    <w:rsid w:val="00FB4EC8"/>
    <w:rsid w:val="00FB5EE0"/>
    <w:rsid w:val="00FC10A3"/>
    <w:rsid w:val="00FC3475"/>
    <w:rsid w:val="00FC3E65"/>
    <w:rsid w:val="00FC4CA9"/>
    <w:rsid w:val="00FC76D1"/>
    <w:rsid w:val="00FE2236"/>
    <w:rsid w:val="00FE6A7A"/>
    <w:rsid w:val="00FE6B50"/>
    <w:rsid w:val="00FF176D"/>
    <w:rsid w:val="00FF22AD"/>
    <w:rsid w:val="6C7CB29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A822"/>
  <w15:chartTrackingRefBased/>
  <w15:docId w15:val="{C70897C1-24D7-42A2-AEEC-B6256770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21A9"/>
    <w:pPr>
      <w:spacing w:after="0" w:line="240" w:lineRule="auto"/>
    </w:pPr>
  </w:style>
  <w:style w:type="character" w:customStyle="1" w:styleId="wacimagecontainer">
    <w:name w:val="wacimagecontainer"/>
    <w:basedOn w:val="DefaultParagraphFont"/>
    <w:rsid w:val="008E7DB3"/>
  </w:style>
  <w:style w:type="paragraph" w:customStyle="1" w:styleId="xmsonormal">
    <w:name w:val="x_msonormal"/>
    <w:basedOn w:val="Normal"/>
    <w:rsid w:val="00826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7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01"/>
  </w:style>
  <w:style w:type="paragraph" w:styleId="Footer">
    <w:name w:val="footer"/>
    <w:basedOn w:val="Normal"/>
    <w:link w:val="FooterChar"/>
    <w:uiPriority w:val="99"/>
    <w:unhideWhenUsed/>
    <w:rsid w:val="00F7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01"/>
  </w:style>
  <w:style w:type="paragraph" w:styleId="NormalWeb">
    <w:name w:val="Normal (Web)"/>
    <w:basedOn w:val="Normal"/>
    <w:uiPriority w:val="99"/>
    <w:unhideWhenUsed/>
    <w:rsid w:val="00F01A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85906"/>
    <w:pPr>
      <w:ind w:left="720"/>
      <w:contextualSpacing/>
    </w:pPr>
  </w:style>
  <w:style w:type="character" w:styleId="Strong">
    <w:name w:val="Strong"/>
    <w:basedOn w:val="DefaultParagraphFont"/>
    <w:uiPriority w:val="22"/>
    <w:qFormat/>
    <w:rsid w:val="005A2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4960">
      <w:bodyDiv w:val="1"/>
      <w:marLeft w:val="0"/>
      <w:marRight w:val="0"/>
      <w:marTop w:val="0"/>
      <w:marBottom w:val="0"/>
      <w:divBdr>
        <w:top w:val="none" w:sz="0" w:space="0" w:color="auto"/>
        <w:left w:val="none" w:sz="0" w:space="0" w:color="auto"/>
        <w:bottom w:val="none" w:sz="0" w:space="0" w:color="auto"/>
        <w:right w:val="none" w:sz="0" w:space="0" w:color="auto"/>
      </w:divBdr>
    </w:div>
    <w:div w:id="351079957">
      <w:bodyDiv w:val="1"/>
      <w:marLeft w:val="0"/>
      <w:marRight w:val="0"/>
      <w:marTop w:val="0"/>
      <w:marBottom w:val="0"/>
      <w:divBdr>
        <w:top w:val="none" w:sz="0" w:space="0" w:color="auto"/>
        <w:left w:val="none" w:sz="0" w:space="0" w:color="auto"/>
        <w:bottom w:val="none" w:sz="0" w:space="0" w:color="auto"/>
        <w:right w:val="none" w:sz="0" w:space="0" w:color="auto"/>
      </w:divBdr>
    </w:div>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782765487">
      <w:bodyDiv w:val="1"/>
      <w:marLeft w:val="0"/>
      <w:marRight w:val="0"/>
      <w:marTop w:val="0"/>
      <w:marBottom w:val="0"/>
      <w:divBdr>
        <w:top w:val="none" w:sz="0" w:space="0" w:color="auto"/>
        <w:left w:val="none" w:sz="0" w:space="0" w:color="auto"/>
        <w:bottom w:val="none" w:sz="0" w:space="0" w:color="auto"/>
        <w:right w:val="none" w:sz="0" w:space="0" w:color="auto"/>
      </w:divBdr>
      <w:divsChild>
        <w:div w:id="1257010296">
          <w:marLeft w:val="0"/>
          <w:marRight w:val="0"/>
          <w:marTop w:val="0"/>
          <w:marBottom w:val="160"/>
          <w:divBdr>
            <w:top w:val="none" w:sz="0" w:space="0" w:color="auto"/>
            <w:left w:val="none" w:sz="0" w:space="0" w:color="auto"/>
            <w:bottom w:val="none" w:sz="0" w:space="0" w:color="auto"/>
            <w:right w:val="none" w:sz="0" w:space="0" w:color="auto"/>
          </w:divBdr>
        </w:div>
        <w:div w:id="1486893664">
          <w:marLeft w:val="0"/>
          <w:marRight w:val="0"/>
          <w:marTop w:val="0"/>
          <w:marBottom w:val="160"/>
          <w:divBdr>
            <w:top w:val="none" w:sz="0" w:space="0" w:color="auto"/>
            <w:left w:val="none" w:sz="0" w:space="0" w:color="auto"/>
            <w:bottom w:val="none" w:sz="0" w:space="0" w:color="auto"/>
            <w:right w:val="none" w:sz="0" w:space="0" w:color="auto"/>
          </w:divBdr>
        </w:div>
      </w:divsChild>
    </w:div>
    <w:div w:id="812135751">
      <w:bodyDiv w:val="1"/>
      <w:marLeft w:val="0"/>
      <w:marRight w:val="0"/>
      <w:marTop w:val="0"/>
      <w:marBottom w:val="0"/>
      <w:divBdr>
        <w:top w:val="none" w:sz="0" w:space="0" w:color="auto"/>
        <w:left w:val="none" w:sz="0" w:space="0" w:color="auto"/>
        <w:bottom w:val="none" w:sz="0" w:space="0" w:color="auto"/>
        <w:right w:val="none" w:sz="0" w:space="0" w:color="auto"/>
      </w:divBdr>
    </w:div>
    <w:div w:id="880091185">
      <w:bodyDiv w:val="1"/>
      <w:marLeft w:val="0"/>
      <w:marRight w:val="0"/>
      <w:marTop w:val="0"/>
      <w:marBottom w:val="0"/>
      <w:divBdr>
        <w:top w:val="none" w:sz="0" w:space="0" w:color="auto"/>
        <w:left w:val="none" w:sz="0" w:space="0" w:color="auto"/>
        <w:bottom w:val="none" w:sz="0" w:space="0" w:color="auto"/>
        <w:right w:val="none" w:sz="0" w:space="0" w:color="auto"/>
      </w:divBdr>
      <w:divsChild>
        <w:div w:id="42214858">
          <w:marLeft w:val="0"/>
          <w:marRight w:val="0"/>
          <w:marTop w:val="0"/>
          <w:marBottom w:val="160"/>
          <w:divBdr>
            <w:top w:val="none" w:sz="0" w:space="0" w:color="auto"/>
            <w:left w:val="none" w:sz="0" w:space="0" w:color="auto"/>
            <w:bottom w:val="none" w:sz="0" w:space="0" w:color="auto"/>
            <w:right w:val="none" w:sz="0" w:space="0" w:color="auto"/>
          </w:divBdr>
        </w:div>
        <w:div w:id="939026000">
          <w:marLeft w:val="0"/>
          <w:marRight w:val="0"/>
          <w:marTop w:val="0"/>
          <w:marBottom w:val="160"/>
          <w:divBdr>
            <w:top w:val="none" w:sz="0" w:space="0" w:color="auto"/>
            <w:left w:val="none" w:sz="0" w:space="0" w:color="auto"/>
            <w:bottom w:val="none" w:sz="0" w:space="0" w:color="auto"/>
            <w:right w:val="none" w:sz="0" w:space="0" w:color="auto"/>
          </w:divBdr>
        </w:div>
      </w:divsChild>
    </w:div>
    <w:div w:id="917711904">
      <w:bodyDiv w:val="1"/>
      <w:marLeft w:val="0"/>
      <w:marRight w:val="0"/>
      <w:marTop w:val="0"/>
      <w:marBottom w:val="0"/>
      <w:divBdr>
        <w:top w:val="none" w:sz="0" w:space="0" w:color="auto"/>
        <w:left w:val="none" w:sz="0" w:space="0" w:color="auto"/>
        <w:bottom w:val="none" w:sz="0" w:space="0" w:color="auto"/>
        <w:right w:val="none" w:sz="0" w:space="0" w:color="auto"/>
      </w:divBdr>
    </w:div>
    <w:div w:id="987169193">
      <w:bodyDiv w:val="1"/>
      <w:marLeft w:val="0"/>
      <w:marRight w:val="0"/>
      <w:marTop w:val="0"/>
      <w:marBottom w:val="0"/>
      <w:divBdr>
        <w:top w:val="none" w:sz="0" w:space="0" w:color="auto"/>
        <w:left w:val="none" w:sz="0" w:space="0" w:color="auto"/>
        <w:bottom w:val="none" w:sz="0" w:space="0" w:color="auto"/>
        <w:right w:val="none" w:sz="0" w:space="0" w:color="auto"/>
      </w:divBdr>
    </w:div>
    <w:div w:id="1101224782">
      <w:bodyDiv w:val="1"/>
      <w:marLeft w:val="0"/>
      <w:marRight w:val="0"/>
      <w:marTop w:val="0"/>
      <w:marBottom w:val="0"/>
      <w:divBdr>
        <w:top w:val="none" w:sz="0" w:space="0" w:color="auto"/>
        <w:left w:val="none" w:sz="0" w:space="0" w:color="auto"/>
        <w:bottom w:val="none" w:sz="0" w:space="0" w:color="auto"/>
        <w:right w:val="none" w:sz="0" w:space="0" w:color="auto"/>
      </w:divBdr>
    </w:div>
    <w:div w:id="1103381647">
      <w:bodyDiv w:val="1"/>
      <w:marLeft w:val="0"/>
      <w:marRight w:val="0"/>
      <w:marTop w:val="0"/>
      <w:marBottom w:val="0"/>
      <w:divBdr>
        <w:top w:val="none" w:sz="0" w:space="0" w:color="auto"/>
        <w:left w:val="none" w:sz="0" w:space="0" w:color="auto"/>
        <w:bottom w:val="none" w:sz="0" w:space="0" w:color="auto"/>
        <w:right w:val="none" w:sz="0" w:space="0" w:color="auto"/>
      </w:divBdr>
    </w:div>
    <w:div w:id="1362896839">
      <w:bodyDiv w:val="1"/>
      <w:marLeft w:val="0"/>
      <w:marRight w:val="0"/>
      <w:marTop w:val="0"/>
      <w:marBottom w:val="0"/>
      <w:divBdr>
        <w:top w:val="none" w:sz="0" w:space="0" w:color="auto"/>
        <w:left w:val="none" w:sz="0" w:space="0" w:color="auto"/>
        <w:bottom w:val="none" w:sz="0" w:space="0" w:color="auto"/>
        <w:right w:val="none" w:sz="0" w:space="0" w:color="auto"/>
      </w:divBdr>
    </w:div>
    <w:div w:id="1718823113">
      <w:bodyDiv w:val="1"/>
      <w:marLeft w:val="0"/>
      <w:marRight w:val="0"/>
      <w:marTop w:val="0"/>
      <w:marBottom w:val="0"/>
      <w:divBdr>
        <w:top w:val="none" w:sz="0" w:space="0" w:color="auto"/>
        <w:left w:val="none" w:sz="0" w:space="0" w:color="auto"/>
        <w:bottom w:val="none" w:sz="0" w:space="0" w:color="auto"/>
        <w:right w:val="none" w:sz="0" w:space="0" w:color="auto"/>
      </w:divBdr>
      <w:divsChild>
        <w:div w:id="533615207">
          <w:marLeft w:val="0"/>
          <w:marRight w:val="0"/>
          <w:marTop w:val="0"/>
          <w:marBottom w:val="0"/>
          <w:divBdr>
            <w:top w:val="none" w:sz="0" w:space="0" w:color="auto"/>
            <w:left w:val="none" w:sz="0" w:space="0" w:color="auto"/>
            <w:bottom w:val="none" w:sz="0" w:space="0" w:color="auto"/>
            <w:right w:val="none" w:sz="0" w:space="0" w:color="auto"/>
          </w:divBdr>
        </w:div>
      </w:divsChild>
    </w:div>
    <w:div w:id="1785156070">
      <w:bodyDiv w:val="1"/>
      <w:marLeft w:val="0"/>
      <w:marRight w:val="0"/>
      <w:marTop w:val="0"/>
      <w:marBottom w:val="0"/>
      <w:divBdr>
        <w:top w:val="none" w:sz="0" w:space="0" w:color="auto"/>
        <w:left w:val="none" w:sz="0" w:space="0" w:color="auto"/>
        <w:bottom w:val="none" w:sz="0" w:space="0" w:color="auto"/>
        <w:right w:val="none" w:sz="0" w:space="0" w:color="auto"/>
      </w:divBdr>
    </w:div>
    <w:div w:id="1803188462">
      <w:bodyDiv w:val="1"/>
      <w:marLeft w:val="0"/>
      <w:marRight w:val="0"/>
      <w:marTop w:val="0"/>
      <w:marBottom w:val="0"/>
      <w:divBdr>
        <w:top w:val="none" w:sz="0" w:space="0" w:color="auto"/>
        <w:left w:val="none" w:sz="0" w:space="0" w:color="auto"/>
        <w:bottom w:val="none" w:sz="0" w:space="0" w:color="auto"/>
        <w:right w:val="none" w:sz="0" w:space="0" w:color="auto"/>
      </w:divBdr>
    </w:div>
    <w:div w:id="2046249017">
      <w:bodyDiv w:val="1"/>
      <w:marLeft w:val="0"/>
      <w:marRight w:val="0"/>
      <w:marTop w:val="0"/>
      <w:marBottom w:val="0"/>
      <w:divBdr>
        <w:top w:val="none" w:sz="0" w:space="0" w:color="auto"/>
        <w:left w:val="none" w:sz="0" w:space="0" w:color="auto"/>
        <w:bottom w:val="none" w:sz="0" w:space="0" w:color="auto"/>
        <w:right w:val="none" w:sz="0" w:space="0" w:color="auto"/>
      </w:divBdr>
      <w:divsChild>
        <w:div w:id="389959725">
          <w:marLeft w:val="0"/>
          <w:marRight w:val="0"/>
          <w:marTop w:val="0"/>
          <w:marBottom w:val="0"/>
          <w:divBdr>
            <w:top w:val="none" w:sz="0" w:space="0" w:color="auto"/>
            <w:left w:val="none" w:sz="0" w:space="0" w:color="auto"/>
            <w:bottom w:val="none" w:sz="0" w:space="0" w:color="auto"/>
            <w:right w:val="none" w:sz="0" w:space="0" w:color="auto"/>
          </w:divBdr>
        </w:div>
      </w:divsChild>
    </w:div>
    <w:div w:id="20597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5116E73270D48B17976D2D66EFF84" ma:contentTypeVersion="2" ma:contentTypeDescription="Create a new document." ma:contentTypeScope="" ma:versionID="3fea76ac482fd77af5bb477729a77b69">
  <xsd:schema xmlns:xsd="http://www.w3.org/2001/XMLSchema" xmlns:xs="http://www.w3.org/2001/XMLSchema" xmlns:p="http://schemas.microsoft.com/office/2006/metadata/properties" xmlns:ns1="http://schemas.microsoft.com/sharepoint/v3" xmlns:ns2="111d5a7d-d7c6-4639-8fdf-5b7d0b770966" targetNamespace="http://schemas.microsoft.com/office/2006/metadata/properties" ma:root="true" ma:fieldsID="13b24790f4c27bf5be4466d06334a28b" ns1:_="" ns2:_="">
    <xsd:import namespace="http://schemas.microsoft.com/sharepoint/v3"/>
    <xsd:import namespace="111d5a7d-d7c6-4639-8fdf-5b7d0b77096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d5a7d-d7c6-4639-8fdf-5b7d0b77096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F166-296A-4318-BDAF-F4E45D9211B5}"/>
</file>

<file path=customXml/itemProps2.xml><?xml version="1.0" encoding="utf-8"?>
<ds:datastoreItem xmlns:ds="http://schemas.openxmlformats.org/officeDocument/2006/customXml" ds:itemID="{8696A5B9-0664-4E78-A08F-3DDE394B3353}">
  <ds:schemaRefs>
    <ds:schemaRef ds:uri="http://schemas.microsoft.com/sharepoint/v3/contenttype/forms"/>
  </ds:schemaRefs>
</ds:datastoreItem>
</file>

<file path=customXml/itemProps3.xml><?xml version="1.0" encoding="utf-8"?>
<ds:datastoreItem xmlns:ds="http://schemas.openxmlformats.org/officeDocument/2006/customXml" ds:itemID="{38F58FB2-D1BA-4300-96D2-D412F4F774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7083CB5-1AA6-41F6-828D-BC1FC99B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Kasikornbank</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Rosawan Chanchenchop</dc:creator>
  <cp:keywords/>
  <dc:description/>
  <cp:lastModifiedBy>Songpol Chutipongpattanakul</cp:lastModifiedBy>
  <cp:revision>4</cp:revision>
  <cp:lastPrinted>2026-06-15T13:55:00Z</cp:lastPrinted>
  <dcterms:created xsi:type="dcterms:W3CDTF">2026-06-16T00:40:00Z</dcterms:created>
  <dcterms:modified xsi:type="dcterms:W3CDTF">2026-06-16T03:03:00Z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0x010100DAE5116E73270D48B17976D2D66EFF84</vt:lpwstr>
  </property>
</Properties>
</file>